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8C8B" w14:textId="7C2E9540" w:rsidR="00FB7D70" w:rsidRDefault="00BE08E8" w:rsidP="00DF0DF4">
      <w:pPr>
        <w:pStyle w:val="Overskrift1"/>
      </w:pPr>
      <w:r>
        <w:t>Informasjon om skriftlig eksamen 10.</w:t>
      </w:r>
      <w:r w:rsidR="00C77379">
        <w:t xml:space="preserve"> </w:t>
      </w:r>
      <w:r>
        <w:t>trinn våren 2026</w:t>
      </w:r>
    </w:p>
    <w:p w14:paraId="6CAE97EF" w14:textId="77777777" w:rsidR="00BE08E8" w:rsidRPr="00BD376D" w:rsidRDefault="00BE08E8">
      <w:pPr>
        <w:rPr>
          <w:sz w:val="22"/>
          <w:szCs w:val="22"/>
        </w:rPr>
      </w:pPr>
    </w:p>
    <w:p w14:paraId="1A71478E" w14:textId="6EEFAF8D" w:rsidR="00BE08E8" w:rsidRPr="00BD376D" w:rsidRDefault="00BE08E8">
      <w:pPr>
        <w:rPr>
          <w:sz w:val="22"/>
          <w:szCs w:val="22"/>
        </w:rPr>
      </w:pPr>
      <w:r w:rsidRPr="00BD376D">
        <w:rPr>
          <w:sz w:val="22"/>
          <w:szCs w:val="22"/>
        </w:rPr>
        <w:t xml:space="preserve">Denne informasjonen er til elever og foresatte på 10. </w:t>
      </w:r>
      <w:r w:rsidR="00C77379">
        <w:rPr>
          <w:sz w:val="22"/>
          <w:szCs w:val="22"/>
        </w:rPr>
        <w:t>t</w:t>
      </w:r>
      <w:r w:rsidRPr="00BD376D">
        <w:rPr>
          <w:sz w:val="22"/>
          <w:szCs w:val="22"/>
        </w:rPr>
        <w:t>rinn ved Tinntjønn skole. Her finner dere viktig og nyttig informasjon angående vårens eksamener.</w:t>
      </w:r>
    </w:p>
    <w:p w14:paraId="6C98C5AF" w14:textId="647E454B" w:rsidR="00BE08E8" w:rsidRDefault="00BE08E8" w:rsidP="00AD0230">
      <w:pPr>
        <w:pStyle w:val="Undertittel"/>
      </w:pPr>
      <w:r>
        <w:t>Viktige datoer</w:t>
      </w:r>
    </w:p>
    <w:tbl>
      <w:tblPr>
        <w:tblStyle w:val="Tabellrutenett"/>
        <w:tblW w:w="0" w:type="auto"/>
        <w:tblLook w:val="04A0" w:firstRow="1" w:lastRow="0" w:firstColumn="1" w:lastColumn="0" w:noHBand="0" w:noVBand="1"/>
      </w:tblPr>
      <w:tblGrid>
        <w:gridCol w:w="1980"/>
        <w:gridCol w:w="7082"/>
      </w:tblGrid>
      <w:tr w:rsidR="00BE08E8" w14:paraId="0F730869" w14:textId="77777777" w:rsidTr="00BE08E8">
        <w:tc>
          <w:tcPr>
            <w:tcW w:w="1980" w:type="dxa"/>
          </w:tcPr>
          <w:p w14:paraId="0DA7E49A" w14:textId="518729B7" w:rsidR="00BE08E8" w:rsidRPr="00BD376D" w:rsidRDefault="00BE08E8">
            <w:pPr>
              <w:rPr>
                <w:sz w:val="22"/>
                <w:szCs w:val="22"/>
              </w:rPr>
            </w:pPr>
            <w:r w:rsidRPr="00BD376D">
              <w:rPr>
                <w:sz w:val="22"/>
                <w:szCs w:val="22"/>
              </w:rPr>
              <w:t>13. mai kl. 09.00</w:t>
            </w:r>
          </w:p>
        </w:tc>
        <w:tc>
          <w:tcPr>
            <w:tcW w:w="7082" w:type="dxa"/>
          </w:tcPr>
          <w:p w14:paraId="7CF99FC3" w14:textId="7E0D83D4" w:rsidR="00BE08E8" w:rsidRPr="00BD376D" w:rsidRDefault="00BE08E8">
            <w:pPr>
              <w:rPr>
                <w:sz w:val="22"/>
                <w:szCs w:val="22"/>
              </w:rPr>
            </w:pPr>
            <w:r w:rsidRPr="00BD376D">
              <w:rPr>
                <w:sz w:val="22"/>
                <w:szCs w:val="22"/>
              </w:rPr>
              <w:t>Offentliggjøring av eksamenstrekk</w:t>
            </w:r>
          </w:p>
        </w:tc>
      </w:tr>
      <w:tr w:rsidR="00BE08E8" w14:paraId="59957145" w14:textId="77777777" w:rsidTr="00BE08E8">
        <w:tc>
          <w:tcPr>
            <w:tcW w:w="1980" w:type="dxa"/>
          </w:tcPr>
          <w:p w14:paraId="4B164E54" w14:textId="1D55A82C" w:rsidR="00BE08E8" w:rsidRPr="00BD376D" w:rsidRDefault="00BE08E8">
            <w:pPr>
              <w:rPr>
                <w:sz w:val="22"/>
                <w:szCs w:val="22"/>
              </w:rPr>
            </w:pPr>
            <w:r w:rsidRPr="00BD376D">
              <w:rPr>
                <w:sz w:val="22"/>
                <w:szCs w:val="22"/>
              </w:rPr>
              <w:t>20. mai</w:t>
            </w:r>
          </w:p>
        </w:tc>
        <w:tc>
          <w:tcPr>
            <w:tcW w:w="7082" w:type="dxa"/>
          </w:tcPr>
          <w:p w14:paraId="31C7D079" w14:textId="31DAF74B" w:rsidR="00BE08E8" w:rsidRPr="00BD376D" w:rsidRDefault="00BE08E8">
            <w:pPr>
              <w:rPr>
                <w:sz w:val="22"/>
                <w:szCs w:val="22"/>
              </w:rPr>
            </w:pPr>
            <w:r w:rsidRPr="00BD376D">
              <w:rPr>
                <w:sz w:val="22"/>
                <w:szCs w:val="22"/>
              </w:rPr>
              <w:t>Eksamen i engelsk</w:t>
            </w:r>
          </w:p>
        </w:tc>
      </w:tr>
      <w:tr w:rsidR="00BE08E8" w14:paraId="24ED6ECF" w14:textId="77777777" w:rsidTr="00BE08E8">
        <w:tc>
          <w:tcPr>
            <w:tcW w:w="1980" w:type="dxa"/>
          </w:tcPr>
          <w:p w14:paraId="55275090" w14:textId="60E2B329" w:rsidR="00BE08E8" w:rsidRPr="00BD376D" w:rsidRDefault="00BE08E8">
            <w:pPr>
              <w:rPr>
                <w:sz w:val="22"/>
                <w:szCs w:val="22"/>
              </w:rPr>
            </w:pPr>
            <w:r w:rsidRPr="00BD376D">
              <w:rPr>
                <w:sz w:val="22"/>
                <w:szCs w:val="22"/>
              </w:rPr>
              <w:t>21. mai</w:t>
            </w:r>
          </w:p>
        </w:tc>
        <w:tc>
          <w:tcPr>
            <w:tcW w:w="7082" w:type="dxa"/>
          </w:tcPr>
          <w:p w14:paraId="604A7EC0" w14:textId="7B1AB179" w:rsidR="00BE08E8" w:rsidRPr="00BD376D" w:rsidRDefault="00BE08E8">
            <w:pPr>
              <w:rPr>
                <w:sz w:val="22"/>
                <w:szCs w:val="22"/>
              </w:rPr>
            </w:pPr>
            <w:r w:rsidRPr="00BD376D">
              <w:rPr>
                <w:sz w:val="22"/>
                <w:szCs w:val="22"/>
              </w:rPr>
              <w:t>Eksamen i norsk hovedmål</w:t>
            </w:r>
          </w:p>
        </w:tc>
      </w:tr>
      <w:tr w:rsidR="00BE08E8" w14:paraId="6B4DB87D" w14:textId="77777777" w:rsidTr="00BE08E8">
        <w:tc>
          <w:tcPr>
            <w:tcW w:w="1980" w:type="dxa"/>
          </w:tcPr>
          <w:p w14:paraId="43C0B39F" w14:textId="581AEC94" w:rsidR="00BE08E8" w:rsidRPr="00BD376D" w:rsidRDefault="00BE08E8">
            <w:pPr>
              <w:rPr>
                <w:sz w:val="22"/>
                <w:szCs w:val="22"/>
              </w:rPr>
            </w:pPr>
            <w:r w:rsidRPr="00BD376D">
              <w:rPr>
                <w:sz w:val="22"/>
                <w:szCs w:val="22"/>
              </w:rPr>
              <w:t>22. mai</w:t>
            </w:r>
          </w:p>
        </w:tc>
        <w:tc>
          <w:tcPr>
            <w:tcW w:w="7082" w:type="dxa"/>
          </w:tcPr>
          <w:p w14:paraId="52B7ABFC" w14:textId="743BFF19" w:rsidR="00BE08E8" w:rsidRPr="00BD376D" w:rsidRDefault="00BE08E8">
            <w:pPr>
              <w:rPr>
                <w:sz w:val="22"/>
                <w:szCs w:val="22"/>
              </w:rPr>
            </w:pPr>
            <w:r w:rsidRPr="00BD376D">
              <w:rPr>
                <w:sz w:val="22"/>
                <w:szCs w:val="22"/>
              </w:rPr>
              <w:t>Eksamen i norsk sidemål</w:t>
            </w:r>
          </w:p>
        </w:tc>
      </w:tr>
      <w:tr w:rsidR="00BE08E8" w14:paraId="67FDB6BB" w14:textId="77777777" w:rsidTr="00BE08E8">
        <w:tc>
          <w:tcPr>
            <w:tcW w:w="1980" w:type="dxa"/>
          </w:tcPr>
          <w:p w14:paraId="1FAB7A5D" w14:textId="4468C4A7" w:rsidR="00BE08E8" w:rsidRPr="00BD376D" w:rsidRDefault="00BE08E8">
            <w:pPr>
              <w:rPr>
                <w:sz w:val="22"/>
                <w:szCs w:val="22"/>
              </w:rPr>
            </w:pPr>
            <w:r w:rsidRPr="00BD376D">
              <w:rPr>
                <w:sz w:val="22"/>
                <w:szCs w:val="22"/>
              </w:rPr>
              <w:t>26. mai</w:t>
            </w:r>
          </w:p>
        </w:tc>
        <w:tc>
          <w:tcPr>
            <w:tcW w:w="7082" w:type="dxa"/>
          </w:tcPr>
          <w:p w14:paraId="10820B71" w14:textId="1B56B718" w:rsidR="00BE08E8" w:rsidRPr="00BD376D" w:rsidRDefault="00BE08E8">
            <w:pPr>
              <w:rPr>
                <w:sz w:val="22"/>
                <w:szCs w:val="22"/>
              </w:rPr>
            </w:pPr>
            <w:r w:rsidRPr="00BD376D">
              <w:rPr>
                <w:sz w:val="22"/>
                <w:szCs w:val="22"/>
              </w:rPr>
              <w:t>Eksamen i matematikk</w:t>
            </w:r>
          </w:p>
        </w:tc>
      </w:tr>
    </w:tbl>
    <w:p w14:paraId="22359B52" w14:textId="77777777" w:rsidR="00BE08E8" w:rsidRDefault="00BE08E8"/>
    <w:p w14:paraId="7585B81E" w14:textId="7458AF32" w:rsidR="00BE08E8" w:rsidRDefault="00BE08E8" w:rsidP="00AD0230">
      <w:pPr>
        <w:pStyle w:val="Undertittel"/>
      </w:pPr>
      <w:r>
        <w:t>Eksamenstid</w:t>
      </w:r>
    </w:p>
    <w:p w14:paraId="5EBF0435" w14:textId="71CB6444" w:rsidR="00BE08E8" w:rsidRPr="00BD376D" w:rsidRDefault="00BE08E8">
      <w:pPr>
        <w:rPr>
          <w:sz w:val="22"/>
          <w:szCs w:val="22"/>
        </w:rPr>
      </w:pPr>
      <w:r w:rsidRPr="00BD376D">
        <w:rPr>
          <w:sz w:val="22"/>
          <w:szCs w:val="22"/>
        </w:rPr>
        <w:t xml:space="preserve">Kandidatene får fem klokketimer til å svare på </w:t>
      </w:r>
      <w:r w:rsidR="0091716A" w:rsidRPr="00BD376D">
        <w:rPr>
          <w:sz w:val="22"/>
          <w:szCs w:val="22"/>
        </w:rPr>
        <w:t>oppgaven</w:t>
      </w:r>
      <w:r w:rsidRPr="00BD376D">
        <w:rPr>
          <w:sz w:val="22"/>
          <w:szCs w:val="22"/>
        </w:rPr>
        <w:t xml:space="preserve">. Noen </w:t>
      </w:r>
      <w:r w:rsidR="0091716A" w:rsidRPr="00BD376D">
        <w:rPr>
          <w:sz w:val="22"/>
          <w:szCs w:val="22"/>
        </w:rPr>
        <w:t>kandidater</w:t>
      </w:r>
      <w:r w:rsidRPr="00BD376D">
        <w:rPr>
          <w:sz w:val="22"/>
          <w:szCs w:val="22"/>
        </w:rPr>
        <w:t xml:space="preserve"> kan ha rett til utvidet tid.</w:t>
      </w:r>
    </w:p>
    <w:p w14:paraId="098F1AA0" w14:textId="7070FB72" w:rsidR="00BE08E8" w:rsidRPr="00BD376D" w:rsidRDefault="00BE08E8">
      <w:pPr>
        <w:rPr>
          <w:sz w:val="22"/>
          <w:szCs w:val="22"/>
        </w:rPr>
      </w:pPr>
      <w:r w:rsidRPr="00BD376D">
        <w:rPr>
          <w:sz w:val="22"/>
          <w:szCs w:val="22"/>
        </w:rPr>
        <w:t>Eksamen starter kl. 09.00. Elevene møter på skolen</w:t>
      </w:r>
      <w:r w:rsidR="00AD0230" w:rsidRPr="00BD376D">
        <w:rPr>
          <w:sz w:val="22"/>
          <w:szCs w:val="22"/>
        </w:rPr>
        <w:t xml:space="preserve"> kl.</w:t>
      </w:r>
      <w:r w:rsidRPr="00BD376D">
        <w:rPr>
          <w:sz w:val="22"/>
          <w:szCs w:val="22"/>
        </w:rPr>
        <w:t xml:space="preserve"> 08.30.</w:t>
      </w:r>
    </w:p>
    <w:p w14:paraId="2F321C12" w14:textId="5BADD30F" w:rsidR="004140F0" w:rsidRPr="00734D82" w:rsidRDefault="00BE08E8">
      <w:pPr>
        <w:rPr>
          <w:sz w:val="22"/>
          <w:szCs w:val="22"/>
        </w:rPr>
      </w:pPr>
      <w:r w:rsidRPr="00BD376D">
        <w:rPr>
          <w:sz w:val="22"/>
          <w:szCs w:val="22"/>
        </w:rPr>
        <w:t>Elever som kommer for sent</w:t>
      </w:r>
      <w:r w:rsidR="00DE1A75" w:rsidRPr="00BD376D">
        <w:rPr>
          <w:sz w:val="22"/>
          <w:szCs w:val="22"/>
        </w:rPr>
        <w:t>, kan starte eksamen fra til kl. 10.00. De får ikke igjen tapt tid. Dersom eleven kommer etter kl. 10.00, får de ikke ta eksamen, og det regnes som “eksamen ikke avlagt”.</w:t>
      </w:r>
    </w:p>
    <w:p w14:paraId="5D4DAFBB" w14:textId="268937D9" w:rsidR="00DE1A75" w:rsidRDefault="00DE1A75" w:rsidP="00AD0230">
      <w:pPr>
        <w:pStyle w:val="Undertittel"/>
      </w:pPr>
      <w:r>
        <w:t>Forberedelsesdag</w:t>
      </w:r>
    </w:p>
    <w:p w14:paraId="270732A7" w14:textId="6B314195" w:rsidR="00BD376D" w:rsidRPr="00BD376D" w:rsidRDefault="00DE1A75">
      <w:pPr>
        <w:rPr>
          <w:sz w:val="22"/>
          <w:szCs w:val="22"/>
        </w:rPr>
      </w:pPr>
      <w:r w:rsidRPr="00BD376D">
        <w:rPr>
          <w:sz w:val="22"/>
          <w:szCs w:val="22"/>
        </w:rPr>
        <w:t xml:space="preserve">Skolene har i forkant av eksamensperioden en lokal forberedelsesdag i eksamensfagene. Denne dagen blir lagt etter offentliggjøring av eksamen og før eksamensperioden starter. </w:t>
      </w:r>
    </w:p>
    <w:p w14:paraId="06C4AACD" w14:textId="63DE5F75" w:rsidR="00DE1A75" w:rsidRDefault="00DE1A75" w:rsidP="00464C81">
      <w:pPr>
        <w:pStyle w:val="Undertittel"/>
      </w:pPr>
      <w:r>
        <w:t>Bruk av hjelpemidler</w:t>
      </w:r>
    </w:p>
    <w:p w14:paraId="08DBEF49" w14:textId="36F18969" w:rsidR="004140F0" w:rsidRPr="00734D82" w:rsidRDefault="00464C81" w:rsidP="00734D82">
      <w:pPr>
        <w:rPr>
          <w:sz w:val="22"/>
          <w:szCs w:val="22"/>
        </w:rPr>
      </w:pPr>
      <w:r w:rsidRPr="00BD376D">
        <w:rPr>
          <w:sz w:val="22"/>
          <w:szCs w:val="22"/>
        </w:rPr>
        <w:t>I Kristiansand kommune er det utarbeidet en felles liste over aktuelle digitale hjelpemidler. Før elevene møter til eksamen</w:t>
      </w:r>
      <w:r w:rsidR="00D6056C" w:rsidRPr="00BD376D">
        <w:rPr>
          <w:sz w:val="22"/>
          <w:szCs w:val="22"/>
        </w:rPr>
        <w:t>, sørger skolen for at elevene kjenner til, og er fortrolige med, reglene for bruk av hjelpemidler til eksamen.</w:t>
      </w:r>
    </w:p>
    <w:p w14:paraId="6A7111F8" w14:textId="27EB4C54" w:rsidR="00DE1A75" w:rsidRDefault="00DE1A75" w:rsidP="00C904B1">
      <w:pPr>
        <w:pStyle w:val="Undertittel"/>
      </w:pPr>
      <w:r>
        <w:t>Juks og konsekvenser av juks</w:t>
      </w:r>
    </w:p>
    <w:p w14:paraId="6C73839D" w14:textId="29CDA2D7" w:rsidR="00DE1A75" w:rsidRDefault="00DE1A75">
      <w:pPr>
        <w:rPr>
          <w:rStyle w:val="Sterk"/>
          <w:sz w:val="22"/>
          <w:szCs w:val="22"/>
        </w:rPr>
      </w:pPr>
      <w:r w:rsidRPr="00BD376D">
        <w:rPr>
          <w:rStyle w:val="Sterk"/>
          <w:sz w:val="22"/>
          <w:szCs w:val="22"/>
        </w:rPr>
        <w:t>Hva er juks?</w:t>
      </w:r>
    </w:p>
    <w:p w14:paraId="5944310C" w14:textId="3CDDFBC5" w:rsidR="00734D82" w:rsidRPr="00BD376D" w:rsidRDefault="00734D82">
      <w:pPr>
        <w:rPr>
          <w:rStyle w:val="Sterk"/>
          <w:sz w:val="22"/>
          <w:szCs w:val="22"/>
        </w:rPr>
      </w:pPr>
      <w:r>
        <w:rPr>
          <w:rStyle w:val="Sterk"/>
          <w:sz w:val="22"/>
          <w:szCs w:val="22"/>
        </w:rPr>
        <w:t>Dette kan være:</w:t>
      </w:r>
    </w:p>
    <w:p w14:paraId="2889BE1A" w14:textId="5AD62751" w:rsidR="00DE1A75" w:rsidRPr="00BD376D" w:rsidRDefault="00FC2E88" w:rsidP="00DE1A75">
      <w:pPr>
        <w:pStyle w:val="Listeavsnitt"/>
        <w:numPr>
          <w:ilvl w:val="0"/>
          <w:numId w:val="1"/>
        </w:numPr>
        <w:rPr>
          <w:sz w:val="22"/>
          <w:szCs w:val="22"/>
        </w:rPr>
      </w:pPr>
      <w:r w:rsidRPr="00BD376D">
        <w:rPr>
          <w:sz w:val="22"/>
          <w:szCs w:val="22"/>
        </w:rPr>
        <w:t>Kommunikasjon</w:t>
      </w:r>
      <w:r w:rsidR="00DE1A75" w:rsidRPr="00BD376D">
        <w:rPr>
          <w:sz w:val="22"/>
          <w:szCs w:val="22"/>
        </w:rPr>
        <w:t xml:space="preserve"> med andre </w:t>
      </w:r>
      <w:r w:rsidR="004F5561">
        <w:rPr>
          <w:sz w:val="22"/>
          <w:szCs w:val="22"/>
        </w:rPr>
        <w:t>gjennom:</w:t>
      </w:r>
    </w:p>
    <w:p w14:paraId="72C9601F" w14:textId="31EC6C3E" w:rsidR="003D1F57" w:rsidRPr="00BD376D" w:rsidRDefault="003D1F57" w:rsidP="003D1F57">
      <w:pPr>
        <w:pStyle w:val="Listeavsnitt"/>
        <w:numPr>
          <w:ilvl w:val="1"/>
          <w:numId w:val="1"/>
        </w:numPr>
        <w:rPr>
          <w:sz w:val="22"/>
          <w:szCs w:val="22"/>
        </w:rPr>
      </w:pPr>
      <w:r w:rsidRPr="00BD376D">
        <w:rPr>
          <w:sz w:val="22"/>
          <w:szCs w:val="22"/>
        </w:rPr>
        <w:t xml:space="preserve">Samskriving, </w:t>
      </w:r>
      <w:r w:rsidR="004F5561">
        <w:rPr>
          <w:sz w:val="22"/>
          <w:szCs w:val="22"/>
        </w:rPr>
        <w:t xml:space="preserve">digitale apparater eller tjenester, </w:t>
      </w:r>
      <w:proofErr w:type="gramStart"/>
      <w:r w:rsidRPr="00BD376D">
        <w:rPr>
          <w:sz w:val="22"/>
          <w:szCs w:val="22"/>
        </w:rPr>
        <w:t>chat</w:t>
      </w:r>
      <w:proofErr w:type="gramEnd"/>
      <w:r w:rsidRPr="00BD376D">
        <w:rPr>
          <w:sz w:val="22"/>
          <w:szCs w:val="22"/>
        </w:rPr>
        <w:t>, publisering av tekst eller kommentarer på nettsider</w:t>
      </w:r>
      <w:r w:rsidR="00372423" w:rsidRPr="00BD376D">
        <w:rPr>
          <w:sz w:val="22"/>
          <w:szCs w:val="22"/>
        </w:rPr>
        <w:t xml:space="preserve">, eller andre måter å utveksle informasjon med andre på, er ikke tillatt. </w:t>
      </w:r>
    </w:p>
    <w:p w14:paraId="07888CF3" w14:textId="7AD663EF" w:rsidR="00DE1A75" w:rsidRPr="00BD376D" w:rsidRDefault="00DE1A75" w:rsidP="00DE1A75">
      <w:pPr>
        <w:pStyle w:val="Listeavsnitt"/>
        <w:numPr>
          <w:ilvl w:val="0"/>
          <w:numId w:val="1"/>
        </w:numPr>
        <w:rPr>
          <w:sz w:val="22"/>
          <w:szCs w:val="22"/>
        </w:rPr>
      </w:pPr>
      <w:r w:rsidRPr="00BD376D">
        <w:rPr>
          <w:sz w:val="22"/>
          <w:szCs w:val="22"/>
        </w:rPr>
        <w:t xml:space="preserve">Bruk av andre hjelpemidler enn dem som er tillatt i faget. </w:t>
      </w:r>
      <w:hyperlink r:id="rId8" w:anchor="a110488" w:history="1">
        <w:r w:rsidR="004A7B8B" w:rsidRPr="00BD376D">
          <w:rPr>
            <w:rStyle w:val="Hyperkobling"/>
            <w:sz w:val="22"/>
            <w:szCs w:val="22"/>
          </w:rPr>
          <w:t>Informasjon om hvilke hjelpemidler som er lov på eksamen</w:t>
        </w:r>
      </w:hyperlink>
      <w:r w:rsidR="00876680" w:rsidRPr="00BD376D">
        <w:rPr>
          <w:sz w:val="22"/>
          <w:szCs w:val="22"/>
        </w:rPr>
        <w:t>.</w:t>
      </w:r>
      <w:r w:rsidR="004A7B8B" w:rsidRPr="00BD376D">
        <w:rPr>
          <w:sz w:val="22"/>
          <w:szCs w:val="22"/>
        </w:rPr>
        <w:t xml:space="preserve"> </w:t>
      </w:r>
    </w:p>
    <w:p w14:paraId="62D8268C" w14:textId="16CC211B" w:rsidR="00DE1A75" w:rsidRPr="00BD376D" w:rsidRDefault="00DE1A75" w:rsidP="00DE1A75">
      <w:pPr>
        <w:pStyle w:val="Listeavsnitt"/>
        <w:numPr>
          <w:ilvl w:val="0"/>
          <w:numId w:val="1"/>
        </w:numPr>
        <w:rPr>
          <w:sz w:val="22"/>
          <w:szCs w:val="22"/>
        </w:rPr>
      </w:pPr>
      <w:r w:rsidRPr="00BD376D">
        <w:rPr>
          <w:sz w:val="22"/>
          <w:szCs w:val="22"/>
        </w:rPr>
        <w:lastRenderedPageBreak/>
        <w:t>Bruk av kunstig intelligens</w:t>
      </w:r>
      <w:r w:rsidR="004F5561" w:rsidRPr="004F5561">
        <w:rPr>
          <w:sz w:val="22"/>
          <w:szCs w:val="22"/>
        </w:rPr>
        <w:t xml:space="preserve">, automatisk tekstgenerator som chatbot </w:t>
      </w:r>
      <w:r w:rsidRPr="00BD376D">
        <w:rPr>
          <w:sz w:val="22"/>
          <w:szCs w:val="22"/>
        </w:rPr>
        <w:t xml:space="preserve">eller tilsvarende teknologi til å </w:t>
      </w:r>
      <w:proofErr w:type="gramStart"/>
      <w:r w:rsidRPr="00BD376D">
        <w:rPr>
          <w:sz w:val="22"/>
          <w:szCs w:val="22"/>
        </w:rPr>
        <w:t>generere</w:t>
      </w:r>
      <w:proofErr w:type="gramEnd"/>
      <w:r w:rsidRPr="00BD376D">
        <w:rPr>
          <w:sz w:val="22"/>
          <w:szCs w:val="22"/>
        </w:rPr>
        <w:t xml:space="preserve"> innholdet i eksamensbesvarelsen.</w:t>
      </w:r>
    </w:p>
    <w:p w14:paraId="7E344CAD" w14:textId="03DFB674" w:rsidR="00DE1A75" w:rsidRDefault="00DE1A75" w:rsidP="00DE1A75">
      <w:pPr>
        <w:pStyle w:val="Listeavsnitt"/>
        <w:numPr>
          <w:ilvl w:val="0"/>
          <w:numId w:val="1"/>
        </w:numPr>
        <w:rPr>
          <w:sz w:val="22"/>
          <w:szCs w:val="22"/>
        </w:rPr>
      </w:pPr>
      <w:r w:rsidRPr="00BD376D">
        <w:rPr>
          <w:sz w:val="22"/>
          <w:szCs w:val="22"/>
        </w:rPr>
        <w:t xml:space="preserve">Til eksamen i norsk skal sensor vurdere elevens egen språkkompetanse. Det er derfor forbudt å bruke oversettelsesprogrammer til eksamen, også programmer som kan benyttes uten tilgang til internett. </w:t>
      </w:r>
    </w:p>
    <w:p w14:paraId="7F030BA4" w14:textId="5C888470" w:rsidR="00C77379" w:rsidRPr="00C77379" w:rsidRDefault="00C77379" w:rsidP="00C77379">
      <w:pPr>
        <w:pStyle w:val="Listeavsnitt"/>
        <w:numPr>
          <w:ilvl w:val="0"/>
          <w:numId w:val="1"/>
        </w:numPr>
        <w:rPr>
          <w:b/>
          <w:bCs/>
          <w:sz w:val="22"/>
          <w:szCs w:val="22"/>
        </w:rPr>
      </w:pPr>
      <w:r w:rsidRPr="00C77379">
        <w:rPr>
          <w:rStyle w:val="Sterk"/>
          <w:sz w:val="22"/>
          <w:szCs w:val="22"/>
        </w:rPr>
        <w:t>Det er viktig å huske at juks også innebærer å sette seg i en situasjon som gir mistanke om juks, uansett om utfallet blir til hjelp for å løse oppgaven, eller ikke.</w:t>
      </w:r>
    </w:p>
    <w:p w14:paraId="45150B87" w14:textId="095A0CAD" w:rsidR="00DE1A75" w:rsidRPr="00BD376D" w:rsidRDefault="00DE1A75" w:rsidP="00DE1A75">
      <w:pPr>
        <w:rPr>
          <w:rStyle w:val="Sterk"/>
          <w:sz w:val="22"/>
          <w:szCs w:val="22"/>
        </w:rPr>
      </w:pPr>
      <w:r w:rsidRPr="00BD376D">
        <w:rPr>
          <w:rStyle w:val="Sterk"/>
          <w:sz w:val="22"/>
          <w:szCs w:val="22"/>
        </w:rPr>
        <w:t>Hva er konsekvensen av å jukse på eksamen?</w:t>
      </w:r>
    </w:p>
    <w:p w14:paraId="3A704AF8" w14:textId="648DFAA5" w:rsidR="00DE1A75" w:rsidRPr="00BD376D" w:rsidRDefault="00DE1A75" w:rsidP="00DE1A75">
      <w:pPr>
        <w:rPr>
          <w:sz w:val="22"/>
          <w:szCs w:val="22"/>
        </w:rPr>
      </w:pPr>
      <w:r w:rsidRPr="00BD376D">
        <w:rPr>
          <w:sz w:val="22"/>
          <w:szCs w:val="22"/>
        </w:rPr>
        <w:t>Det er svært alvorlig å jukse på eksamen. Konsekvensens av juks, eller forsøk på juks, er:</w:t>
      </w:r>
    </w:p>
    <w:p w14:paraId="112EA540" w14:textId="3219B94F" w:rsidR="00DE1A75" w:rsidRPr="0091716A" w:rsidRDefault="00DE1A75" w:rsidP="00DE1A75">
      <w:pPr>
        <w:pStyle w:val="Listeavsnitt"/>
        <w:numPr>
          <w:ilvl w:val="0"/>
          <w:numId w:val="2"/>
        </w:numPr>
        <w:rPr>
          <w:sz w:val="22"/>
          <w:szCs w:val="22"/>
          <w:lang w:val="nn-NO"/>
        </w:rPr>
      </w:pPr>
      <w:r w:rsidRPr="0091716A">
        <w:rPr>
          <w:sz w:val="22"/>
          <w:szCs w:val="22"/>
          <w:lang w:val="nn-NO"/>
        </w:rPr>
        <w:t>Få eksamen i faget annullert.</w:t>
      </w:r>
    </w:p>
    <w:p w14:paraId="77B0346C" w14:textId="04019FCB" w:rsidR="00DE1A75" w:rsidRPr="00BD376D" w:rsidRDefault="00DE1A75" w:rsidP="00DE1A75">
      <w:pPr>
        <w:pStyle w:val="Listeavsnitt"/>
        <w:numPr>
          <w:ilvl w:val="0"/>
          <w:numId w:val="2"/>
        </w:numPr>
        <w:rPr>
          <w:sz w:val="22"/>
          <w:szCs w:val="22"/>
        </w:rPr>
      </w:pPr>
      <w:r w:rsidRPr="00BD376D">
        <w:rPr>
          <w:sz w:val="22"/>
          <w:szCs w:val="22"/>
        </w:rPr>
        <w:t>Miste standpunktkarakteren i faget.</w:t>
      </w:r>
    </w:p>
    <w:p w14:paraId="59EB4BE7" w14:textId="2182091D" w:rsidR="00DE1A75" w:rsidRDefault="00C77379" w:rsidP="00DE1A75">
      <w:pPr>
        <w:rPr>
          <w:sz w:val="22"/>
          <w:szCs w:val="22"/>
        </w:rPr>
      </w:pPr>
      <w:hyperlink r:id="rId9" w:history="1">
        <w:proofErr w:type="spellStart"/>
        <w:r>
          <w:rPr>
            <w:rStyle w:val="Hyperkobling"/>
            <w:sz w:val="22"/>
            <w:szCs w:val="22"/>
          </w:rPr>
          <w:t>Udir</w:t>
        </w:r>
        <w:proofErr w:type="spellEnd"/>
        <w:r>
          <w:rPr>
            <w:rStyle w:val="Hyperkobling"/>
            <w:sz w:val="22"/>
            <w:szCs w:val="22"/>
          </w:rPr>
          <w:t xml:space="preserve"> om reglene ved juks på eksamen</w:t>
        </w:r>
      </w:hyperlink>
      <w:r w:rsidR="00B01C38" w:rsidRPr="00BD376D">
        <w:rPr>
          <w:sz w:val="22"/>
          <w:szCs w:val="22"/>
        </w:rPr>
        <w:t xml:space="preserve"> </w:t>
      </w:r>
    </w:p>
    <w:p w14:paraId="602493D2" w14:textId="63D8DB04" w:rsidR="0091716A" w:rsidRDefault="00734D82" w:rsidP="00DE1A75">
      <w:pPr>
        <w:rPr>
          <w:sz w:val="22"/>
          <w:szCs w:val="22"/>
        </w:rPr>
      </w:pPr>
      <w:hyperlink r:id="rId10" w:history="1">
        <w:r w:rsidRPr="00734D82">
          <w:rPr>
            <w:rStyle w:val="Hyperkobling"/>
            <w:sz w:val="22"/>
            <w:szCs w:val="22"/>
          </w:rPr>
          <w:t xml:space="preserve">Mer om </w:t>
        </w:r>
        <w:r w:rsidR="0091716A" w:rsidRPr="00734D82">
          <w:rPr>
            <w:rStyle w:val="Hyperkobling"/>
            <w:sz w:val="22"/>
            <w:szCs w:val="22"/>
          </w:rPr>
          <w:t>Regler og tilrettelegging for elever ved skriftlig eksamen</w:t>
        </w:r>
      </w:hyperlink>
    </w:p>
    <w:p w14:paraId="0949C4E0" w14:textId="5B5BC5FE" w:rsidR="00DE1A75" w:rsidRDefault="00DE1A75" w:rsidP="00B01C38">
      <w:pPr>
        <w:pStyle w:val="Undertittel"/>
      </w:pPr>
      <w:r>
        <w:t>Bruk av kilder</w:t>
      </w:r>
    </w:p>
    <w:p w14:paraId="149A7D2E" w14:textId="3EF718CB" w:rsidR="00DE1A75" w:rsidRPr="00BD376D" w:rsidRDefault="006E79E6" w:rsidP="006E79E6">
      <w:pPr>
        <w:rPr>
          <w:sz w:val="22"/>
          <w:szCs w:val="22"/>
        </w:rPr>
      </w:pPr>
      <w:r w:rsidRPr="00BD376D">
        <w:rPr>
          <w:sz w:val="22"/>
          <w:szCs w:val="22"/>
        </w:rPr>
        <w:t xml:space="preserve">Plagiat er å bruke andres tekster helt eller delvis uten å oppgi kilden. Når alle hjelpemidler er tillatt </w:t>
      </w:r>
      <w:r w:rsidR="00BF5C38" w:rsidRPr="00BD376D">
        <w:rPr>
          <w:sz w:val="22"/>
          <w:szCs w:val="22"/>
        </w:rPr>
        <w:t>på eksamen, er det ikke plagiat å bruke kilder. Der kandidaten bruker kilder, skal disse oppgis slik at sensor kan finne fram til dem. Dette er omtalt både i eksamensveiledningene og i informasjonsdelen til eksamensoppgaven.</w:t>
      </w:r>
    </w:p>
    <w:p w14:paraId="41682809" w14:textId="2B109A05" w:rsidR="00DB716D" w:rsidRPr="00734D82" w:rsidRDefault="00DB716D" w:rsidP="006E79E6">
      <w:pPr>
        <w:rPr>
          <w:sz w:val="22"/>
          <w:szCs w:val="22"/>
        </w:rPr>
      </w:pPr>
      <w:r w:rsidRPr="00BD376D">
        <w:rPr>
          <w:sz w:val="22"/>
          <w:szCs w:val="22"/>
        </w:rPr>
        <w:t>Om en elev i stor grad benytter klipp og lim fra andres tekster, kan det være vanskelig å vurdere elevens individuelle kompetanse. Uselvstendig kildebruk kan føre til at eleven får lavere eksamenskarakter.</w:t>
      </w:r>
    </w:p>
    <w:p w14:paraId="22C1D6DB" w14:textId="13BAF1F6" w:rsidR="00DB716D" w:rsidRDefault="00DB716D" w:rsidP="00FC2E88">
      <w:pPr>
        <w:pStyle w:val="Undertittel"/>
      </w:pPr>
      <w:r>
        <w:t>Klage på karakter</w:t>
      </w:r>
    </w:p>
    <w:p w14:paraId="26B32B1E" w14:textId="4C14A0CF" w:rsidR="00DB716D" w:rsidRPr="00BD376D" w:rsidRDefault="00DB716D" w:rsidP="006E79E6">
      <w:pPr>
        <w:rPr>
          <w:sz w:val="22"/>
          <w:szCs w:val="22"/>
        </w:rPr>
      </w:pPr>
      <w:r w:rsidRPr="00BD376D">
        <w:rPr>
          <w:sz w:val="22"/>
          <w:szCs w:val="22"/>
        </w:rPr>
        <w:t>Vil du klage på karakteren din? Husk at du</w:t>
      </w:r>
      <w:r w:rsidR="000458DA" w:rsidRPr="00BD376D">
        <w:rPr>
          <w:sz w:val="22"/>
          <w:szCs w:val="22"/>
        </w:rPr>
        <w:t xml:space="preserve"> …</w:t>
      </w:r>
    </w:p>
    <w:p w14:paraId="4583CC19" w14:textId="22424A42" w:rsidR="00FA7211" w:rsidRPr="00BD376D" w:rsidRDefault="000458DA" w:rsidP="00FA7211">
      <w:pPr>
        <w:pStyle w:val="Listeavsnitt"/>
        <w:numPr>
          <w:ilvl w:val="0"/>
          <w:numId w:val="3"/>
        </w:numPr>
        <w:rPr>
          <w:sz w:val="22"/>
          <w:szCs w:val="22"/>
        </w:rPr>
      </w:pPr>
      <w:r w:rsidRPr="00BD376D">
        <w:rPr>
          <w:sz w:val="22"/>
          <w:szCs w:val="22"/>
        </w:rPr>
        <w:t>m</w:t>
      </w:r>
      <w:r w:rsidR="00FA7211" w:rsidRPr="00BD376D">
        <w:rPr>
          <w:sz w:val="22"/>
          <w:szCs w:val="22"/>
        </w:rPr>
        <w:t>å klage innen ti dager etter at karakteren din er satt.</w:t>
      </w:r>
    </w:p>
    <w:p w14:paraId="012A1044" w14:textId="5D257DE0" w:rsidR="00FA7211" w:rsidRPr="00BD376D" w:rsidRDefault="000458DA" w:rsidP="00FA7211">
      <w:pPr>
        <w:pStyle w:val="Listeavsnitt"/>
        <w:numPr>
          <w:ilvl w:val="0"/>
          <w:numId w:val="3"/>
        </w:numPr>
        <w:rPr>
          <w:sz w:val="22"/>
          <w:szCs w:val="22"/>
        </w:rPr>
      </w:pPr>
      <w:r w:rsidRPr="00BD376D">
        <w:rPr>
          <w:sz w:val="22"/>
          <w:szCs w:val="22"/>
        </w:rPr>
        <w:t>m</w:t>
      </w:r>
      <w:r w:rsidR="00FA7211" w:rsidRPr="00BD376D">
        <w:rPr>
          <w:sz w:val="22"/>
          <w:szCs w:val="22"/>
        </w:rPr>
        <w:t>å levere klagen til skriftlig til skolen</w:t>
      </w:r>
      <w:r w:rsidRPr="00BD376D">
        <w:rPr>
          <w:sz w:val="22"/>
          <w:szCs w:val="22"/>
        </w:rPr>
        <w:t xml:space="preserve"> (rektor).</w:t>
      </w:r>
    </w:p>
    <w:p w14:paraId="52A618C6" w14:textId="73693E2E" w:rsidR="000458DA" w:rsidRPr="00BD376D" w:rsidRDefault="000458DA" w:rsidP="00FA7211">
      <w:pPr>
        <w:pStyle w:val="Listeavsnitt"/>
        <w:numPr>
          <w:ilvl w:val="0"/>
          <w:numId w:val="3"/>
        </w:numPr>
        <w:rPr>
          <w:sz w:val="22"/>
          <w:szCs w:val="22"/>
        </w:rPr>
      </w:pPr>
      <w:r w:rsidRPr="00BD376D">
        <w:rPr>
          <w:sz w:val="22"/>
          <w:szCs w:val="22"/>
        </w:rPr>
        <w:t>bør rådføre deg med en lærer før du klager.</w:t>
      </w:r>
    </w:p>
    <w:p w14:paraId="0D99F684" w14:textId="788F7155" w:rsidR="000458DA" w:rsidRPr="00BD376D" w:rsidRDefault="000458DA" w:rsidP="00FA7211">
      <w:pPr>
        <w:pStyle w:val="Listeavsnitt"/>
        <w:numPr>
          <w:ilvl w:val="0"/>
          <w:numId w:val="3"/>
        </w:numPr>
        <w:rPr>
          <w:sz w:val="22"/>
          <w:szCs w:val="22"/>
        </w:rPr>
      </w:pPr>
      <w:r w:rsidRPr="00BD376D">
        <w:rPr>
          <w:sz w:val="22"/>
          <w:szCs w:val="22"/>
        </w:rPr>
        <w:t>ikke trenger å begrunne klagen din.</w:t>
      </w:r>
    </w:p>
    <w:p w14:paraId="7611CBDF" w14:textId="52B00AC6" w:rsidR="000458DA" w:rsidRPr="00BD376D" w:rsidRDefault="000458DA" w:rsidP="000458DA">
      <w:pPr>
        <w:rPr>
          <w:sz w:val="22"/>
          <w:szCs w:val="22"/>
        </w:rPr>
      </w:pPr>
      <w:r w:rsidRPr="00BD376D">
        <w:rPr>
          <w:sz w:val="22"/>
          <w:szCs w:val="22"/>
        </w:rPr>
        <w:t xml:space="preserve">Klagen sendes til skolen og sendes videre til Statsforvalteren. Det er ikke skolen som behandler klagen. Resultatet av klagen kan være at du beholder karakteren din, eller at du får en bedre eller dårligere karakter. </w:t>
      </w:r>
    </w:p>
    <w:p w14:paraId="6FDF0991" w14:textId="4923B189" w:rsidR="00DF0DF4" w:rsidRPr="00C77379" w:rsidRDefault="00734D82" w:rsidP="000458DA">
      <w:pPr>
        <w:rPr>
          <w:sz w:val="22"/>
          <w:szCs w:val="22"/>
        </w:rPr>
      </w:pPr>
      <w:hyperlink r:id="rId11" w:history="1">
        <w:r w:rsidRPr="00C77379">
          <w:rPr>
            <w:rStyle w:val="Hyperkobling"/>
            <w:sz w:val="22"/>
            <w:szCs w:val="22"/>
          </w:rPr>
          <w:t>Mer om klager</w:t>
        </w:r>
      </w:hyperlink>
    </w:p>
    <w:p w14:paraId="6EB985EA" w14:textId="77777777" w:rsidR="00C77379" w:rsidRDefault="00C77379">
      <w:pPr>
        <w:rPr>
          <w:rFonts w:asciiTheme="majorHAnsi" w:eastAsiaTheme="majorEastAsia" w:hAnsiTheme="majorHAnsi" w:cstheme="majorBidi"/>
          <w:color w:val="0F4761" w:themeColor="accent1" w:themeShade="BF"/>
          <w:sz w:val="40"/>
          <w:szCs w:val="40"/>
          <w:lang w:val="nn-NO"/>
        </w:rPr>
      </w:pPr>
      <w:r>
        <w:rPr>
          <w:lang w:val="nn-NO"/>
        </w:rPr>
        <w:br w:type="page"/>
      </w:r>
    </w:p>
    <w:p w14:paraId="0C10263C" w14:textId="79AFF792" w:rsidR="00DF0DF4" w:rsidRPr="0091716A" w:rsidRDefault="00DF0DF4" w:rsidP="00DF0DF4">
      <w:pPr>
        <w:pStyle w:val="Overskrift1"/>
        <w:rPr>
          <w:lang w:val="nn-NO"/>
        </w:rPr>
      </w:pPr>
      <w:r w:rsidRPr="0091716A">
        <w:rPr>
          <w:lang w:val="nn-NO"/>
        </w:rPr>
        <w:lastRenderedPageBreak/>
        <w:t>Informasjon og søknad om særskilt tilrettelagt eksamen</w:t>
      </w:r>
    </w:p>
    <w:p w14:paraId="475EC206" w14:textId="5ACD25A8" w:rsidR="00DF0DF4" w:rsidRPr="00BD376D" w:rsidRDefault="00DF0DF4" w:rsidP="00DF0DF4">
      <w:pPr>
        <w:rPr>
          <w:sz w:val="22"/>
          <w:szCs w:val="22"/>
        </w:rPr>
      </w:pPr>
      <w:proofErr w:type="spellStart"/>
      <w:r w:rsidRPr="0091716A">
        <w:rPr>
          <w:sz w:val="22"/>
          <w:szCs w:val="22"/>
          <w:lang w:val="nn-NO"/>
        </w:rPr>
        <w:t>Opplæringsforskriften</w:t>
      </w:r>
      <w:proofErr w:type="spellEnd"/>
      <w:r w:rsidRPr="0091716A">
        <w:rPr>
          <w:sz w:val="22"/>
          <w:szCs w:val="22"/>
          <w:lang w:val="nn-NO"/>
        </w:rPr>
        <w:t xml:space="preserve"> §9-34 og 15-23 gir </w:t>
      </w:r>
      <w:proofErr w:type="spellStart"/>
      <w:r w:rsidRPr="0091716A">
        <w:rPr>
          <w:sz w:val="22"/>
          <w:szCs w:val="22"/>
          <w:lang w:val="nn-NO"/>
        </w:rPr>
        <w:t>føringer</w:t>
      </w:r>
      <w:proofErr w:type="spellEnd"/>
      <w:r w:rsidRPr="0091716A">
        <w:rPr>
          <w:sz w:val="22"/>
          <w:szCs w:val="22"/>
          <w:lang w:val="nn-NO"/>
        </w:rPr>
        <w:t xml:space="preserve"> for tilrettelegging på eksamen. Det er rektor på skolen som </w:t>
      </w:r>
      <w:proofErr w:type="spellStart"/>
      <w:r w:rsidRPr="0091716A">
        <w:rPr>
          <w:sz w:val="22"/>
          <w:szCs w:val="22"/>
          <w:lang w:val="nn-NO"/>
        </w:rPr>
        <w:t>fatter</w:t>
      </w:r>
      <w:proofErr w:type="spellEnd"/>
      <w:r w:rsidRPr="0091716A">
        <w:rPr>
          <w:sz w:val="22"/>
          <w:szCs w:val="22"/>
          <w:lang w:val="nn-NO"/>
        </w:rPr>
        <w:t xml:space="preserve"> vedtak om </w:t>
      </w:r>
      <w:proofErr w:type="spellStart"/>
      <w:r w:rsidRPr="0091716A">
        <w:rPr>
          <w:sz w:val="22"/>
          <w:szCs w:val="22"/>
          <w:lang w:val="nn-NO"/>
        </w:rPr>
        <w:t>hvorvidt</w:t>
      </w:r>
      <w:proofErr w:type="spellEnd"/>
      <w:r w:rsidRPr="0091716A">
        <w:rPr>
          <w:sz w:val="22"/>
          <w:szCs w:val="22"/>
          <w:lang w:val="nn-NO"/>
        </w:rPr>
        <w:t xml:space="preserve"> </w:t>
      </w:r>
      <w:proofErr w:type="spellStart"/>
      <w:r w:rsidRPr="0091716A">
        <w:rPr>
          <w:sz w:val="22"/>
          <w:szCs w:val="22"/>
          <w:lang w:val="nn-NO"/>
        </w:rPr>
        <w:t>elevene</w:t>
      </w:r>
      <w:proofErr w:type="spellEnd"/>
      <w:r w:rsidRPr="0091716A">
        <w:rPr>
          <w:sz w:val="22"/>
          <w:szCs w:val="22"/>
          <w:lang w:val="nn-NO"/>
        </w:rPr>
        <w:t xml:space="preserve"> </w:t>
      </w:r>
      <w:proofErr w:type="spellStart"/>
      <w:r w:rsidRPr="0091716A">
        <w:rPr>
          <w:sz w:val="22"/>
          <w:szCs w:val="22"/>
          <w:lang w:val="nn-NO"/>
        </w:rPr>
        <w:t>innvilges</w:t>
      </w:r>
      <w:proofErr w:type="spellEnd"/>
      <w:r w:rsidRPr="0091716A">
        <w:rPr>
          <w:sz w:val="22"/>
          <w:szCs w:val="22"/>
          <w:lang w:val="nn-NO"/>
        </w:rPr>
        <w:t xml:space="preserve"> tilrettelegging etter søknad </w:t>
      </w:r>
      <w:proofErr w:type="spellStart"/>
      <w:r w:rsidRPr="0091716A">
        <w:rPr>
          <w:sz w:val="22"/>
          <w:szCs w:val="22"/>
          <w:lang w:val="nn-NO"/>
        </w:rPr>
        <w:t>fra</w:t>
      </w:r>
      <w:proofErr w:type="spellEnd"/>
      <w:r w:rsidRPr="0091716A">
        <w:rPr>
          <w:sz w:val="22"/>
          <w:szCs w:val="22"/>
          <w:lang w:val="nn-NO"/>
        </w:rPr>
        <w:t xml:space="preserve"> </w:t>
      </w:r>
      <w:proofErr w:type="spellStart"/>
      <w:r w:rsidR="007C3E52" w:rsidRPr="0091716A">
        <w:rPr>
          <w:sz w:val="22"/>
          <w:szCs w:val="22"/>
          <w:lang w:val="nn-NO"/>
        </w:rPr>
        <w:t>foresatte</w:t>
      </w:r>
      <w:proofErr w:type="spellEnd"/>
      <w:r w:rsidR="007C3E52" w:rsidRPr="0091716A">
        <w:rPr>
          <w:sz w:val="22"/>
          <w:szCs w:val="22"/>
          <w:lang w:val="nn-NO"/>
        </w:rPr>
        <w:t xml:space="preserve">. </w:t>
      </w:r>
      <w:r w:rsidR="007C3E52" w:rsidRPr="00BD376D">
        <w:rPr>
          <w:sz w:val="22"/>
          <w:szCs w:val="22"/>
        </w:rPr>
        <w:t>Rektor vil vurdere følgende:</w:t>
      </w:r>
    </w:p>
    <w:p w14:paraId="78BB26DE" w14:textId="13681075" w:rsidR="007C3E52" w:rsidRPr="00BD376D" w:rsidRDefault="007C3E52" w:rsidP="007C3E52">
      <w:pPr>
        <w:pStyle w:val="Listeavsnitt"/>
        <w:numPr>
          <w:ilvl w:val="0"/>
          <w:numId w:val="6"/>
        </w:numPr>
        <w:rPr>
          <w:sz w:val="22"/>
          <w:szCs w:val="22"/>
        </w:rPr>
      </w:pPr>
      <w:r w:rsidRPr="00BD376D">
        <w:rPr>
          <w:sz w:val="22"/>
          <w:szCs w:val="22"/>
        </w:rPr>
        <w:t>Du kan bare søke tilrettelegging for utfordringer du har hatt gjennom året, og kun for tiltak som allerede er brukt i opplæringen. Tilretteleggingen skal så langt det er mulig tilpasses og avhjelpe kandidatens behov, for eksempel ved pollenallergi og funksjonsnedsettelse (krever legeerklæring).</w:t>
      </w:r>
    </w:p>
    <w:p w14:paraId="75B60859" w14:textId="13E6A962" w:rsidR="007C3E52" w:rsidRPr="00BD376D" w:rsidRDefault="007C3E52" w:rsidP="007C3E52">
      <w:pPr>
        <w:pStyle w:val="Listeavsnitt"/>
        <w:numPr>
          <w:ilvl w:val="0"/>
          <w:numId w:val="6"/>
        </w:numPr>
        <w:rPr>
          <w:sz w:val="22"/>
          <w:szCs w:val="22"/>
        </w:rPr>
      </w:pPr>
      <w:r w:rsidRPr="00BD376D">
        <w:rPr>
          <w:sz w:val="22"/>
          <w:szCs w:val="22"/>
        </w:rPr>
        <w:t>Tilretteleggingen skal ikke føre til at kandidaten får fordeles i forhold til de andre elevene som ikke får tilrettelegging.</w:t>
      </w:r>
    </w:p>
    <w:p w14:paraId="0A155097" w14:textId="509C2F2A" w:rsidR="007C3E52" w:rsidRPr="00BD376D" w:rsidRDefault="007C3E52" w:rsidP="007C3E52">
      <w:pPr>
        <w:pStyle w:val="Listeavsnitt"/>
        <w:numPr>
          <w:ilvl w:val="0"/>
          <w:numId w:val="6"/>
        </w:numPr>
        <w:rPr>
          <w:sz w:val="22"/>
          <w:szCs w:val="22"/>
        </w:rPr>
      </w:pPr>
      <w:r w:rsidRPr="00BD376D">
        <w:rPr>
          <w:sz w:val="22"/>
          <w:szCs w:val="22"/>
        </w:rPr>
        <w:t>Tilretteleggingen skal ligge så tett opptil en normal gjennomføring som mulig, og det skal ikke gis mer tilrettelegging enn det kandidatene har behov for.</w:t>
      </w:r>
    </w:p>
    <w:p w14:paraId="72A32B14" w14:textId="29F79AD9" w:rsidR="007C3E52" w:rsidRPr="00BD376D" w:rsidRDefault="007C3E52" w:rsidP="007C3E52">
      <w:pPr>
        <w:pStyle w:val="Listeavsnitt"/>
        <w:numPr>
          <w:ilvl w:val="0"/>
          <w:numId w:val="6"/>
        </w:numPr>
        <w:rPr>
          <w:sz w:val="22"/>
          <w:szCs w:val="22"/>
        </w:rPr>
      </w:pPr>
      <w:r w:rsidRPr="00BD376D">
        <w:rPr>
          <w:sz w:val="22"/>
          <w:szCs w:val="22"/>
        </w:rPr>
        <w:t>Tilretteleggingen</w:t>
      </w:r>
      <w:r w:rsidR="00E91F05" w:rsidRPr="00BD376D">
        <w:rPr>
          <w:sz w:val="22"/>
          <w:szCs w:val="22"/>
        </w:rPr>
        <w:t xml:space="preserve"> må ikke være så omfattende at kandidatene ikke blir prøvd i kompetansemålene.</w:t>
      </w:r>
    </w:p>
    <w:p w14:paraId="7E388041" w14:textId="6AA0BA10" w:rsidR="00E91F05" w:rsidRPr="00BD376D" w:rsidRDefault="00E91F05" w:rsidP="00BD376D">
      <w:pPr>
        <w:pStyle w:val="Listeavsnitt"/>
        <w:numPr>
          <w:ilvl w:val="0"/>
          <w:numId w:val="6"/>
        </w:numPr>
        <w:rPr>
          <w:sz w:val="22"/>
          <w:szCs w:val="22"/>
        </w:rPr>
      </w:pPr>
      <w:r w:rsidRPr="00BD376D">
        <w:rPr>
          <w:sz w:val="22"/>
          <w:szCs w:val="22"/>
        </w:rPr>
        <w:t>Rektor fatter vedtak om hvorvidt en elev innvilges tilretteleggingen, samt hvilken type tilrettelegging som eventuelt gis.</w:t>
      </w:r>
    </w:p>
    <w:p w14:paraId="03CCAD64" w14:textId="44EA030A" w:rsidR="00E91F05" w:rsidRPr="00BD376D" w:rsidRDefault="00E91F05" w:rsidP="00E91F05">
      <w:pPr>
        <w:pStyle w:val="Undertittel"/>
        <w:rPr>
          <w:sz w:val="24"/>
          <w:szCs w:val="24"/>
        </w:rPr>
      </w:pPr>
      <w:r w:rsidRPr="00BD376D">
        <w:rPr>
          <w:sz w:val="24"/>
          <w:szCs w:val="24"/>
        </w:rPr>
        <w:t>Sett kryss for fag og ønskes tilretteleggingstiltak:</w:t>
      </w:r>
    </w:p>
    <w:tbl>
      <w:tblPr>
        <w:tblStyle w:val="Tabellrutenett"/>
        <w:tblW w:w="0" w:type="auto"/>
        <w:tblLayout w:type="fixed"/>
        <w:tblLook w:val="04A0" w:firstRow="1" w:lastRow="0" w:firstColumn="1" w:lastColumn="0" w:noHBand="0" w:noVBand="1"/>
      </w:tblPr>
      <w:tblGrid>
        <w:gridCol w:w="1980"/>
        <w:gridCol w:w="1134"/>
        <w:gridCol w:w="1417"/>
        <w:gridCol w:w="1276"/>
        <w:gridCol w:w="1701"/>
        <w:gridCol w:w="1554"/>
      </w:tblGrid>
      <w:tr w:rsidR="00037BBB" w:rsidRPr="00BD376D" w14:paraId="24442205" w14:textId="77777777" w:rsidTr="00037BBB">
        <w:tc>
          <w:tcPr>
            <w:tcW w:w="1980" w:type="dxa"/>
          </w:tcPr>
          <w:p w14:paraId="0799EBBB" w14:textId="77777777" w:rsidR="00E91F05" w:rsidRPr="00BD376D" w:rsidRDefault="00E91F05" w:rsidP="00E91F05">
            <w:pPr>
              <w:pStyle w:val="Undertittel"/>
              <w:rPr>
                <w:color w:val="auto"/>
                <w:sz w:val="22"/>
                <w:szCs w:val="22"/>
              </w:rPr>
            </w:pPr>
          </w:p>
        </w:tc>
        <w:tc>
          <w:tcPr>
            <w:tcW w:w="1134" w:type="dxa"/>
          </w:tcPr>
          <w:p w14:paraId="36F5095A" w14:textId="27012625" w:rsidR="00E91F05" w:rsidRPr="00BD376D" w:rsidRDefault="00CB5516" w:rsidP="00E91F05">
            <w:pPr>
              <w:pStyle w:val="Undertittel"/>
              <w:rPr>
                <w:color w:val="auto"/>
                <w:sz w:val="22"/>
                <w:szCs w:val="22"/>
              </w:rPr>
            </w:pPr>
            <w:r w:rsidRPr="00BD376D">
              <w:rPr>
                <w:color w:val="auto"/>
                <w:sz w:val="22"/>
                <w:szCs w:val="22"/>
              </w:rPr>
              <w:t>Engelsk</w:t>
            </w:r>
          </w:p>
        </w:tc>
        <w:tc>
          <w:tcPr>
            <w:tcW w:w="1417" w:type="dxa"/>
          </w:tcPr>
          <w:p w14:paraId="71747FCF" w14:textId="2C4DB132" w:rsidR="00E91F05" w:rsidRPr="00BD376D" w:rsidRDefault="00CB5516" w:rsidP="00E91F05">
            <w:pPr>
              <w:pStyle w:val="Undertittel"/>
              <w:rPr>
                <w:color w:val="auto"/>
                <w:sz w:val="22"/>
                <w:szCs w:val="22"/>
              </w:rPr>
            </w:pPr>
            <w:r w:rsidRPr="00BD376D">
              <w:rPr>
                <w:color w:val="auto"/>
                <w:sz w:val="22"/>
                <w:szCs w:val="22"/>
              </w:rPr>
              <w:t>Norsk hovedmål</w:t>
            </w:r>
          </w:p>
        </w:tc>
        <w:tc>
          <w:tcPr>
            <w:tcW w:w="1276" w:type="dxa"/>
          </w:tcPr>
          <w:p w14:paraId="1D58184B" w14:textId="646AD85E" w:rsidR="00E91F05" w:rsidRPr="00BD376D" w:rsidRDefault="00CB5516" w:rsidP="00E91F05">
            <w:pPr>
              <w:pStyle w:val="Undertittel"/>
              <w:rPr>
                <w:color w:val="auto"/>
                <w:sz w:val="22"/>
                <w:szCs w:val="22"/>
              </w:rPr>
            </w:pPr>
            <w:r w:rsidRPr="00BD376D">
              <w:rPr>
                <w:color w:val="auto"/>
                <w:sz w:val="22"/>
                <w:szCs w:val="22"/>
              </w:rPr>
              <w:t>Norsk sidemål</w:t>
            </w:r>
          </w:p>
        </w:tc>
        <w:tc>
          <w:tcPr>
            <w:tcW w:w="1701" w:type="dxa"/>
          </w:tcPr>
          <w:p w14:paraId="57A8C4E5" w14:textId="3F2D2BF4" w:rsidR="00E91F05" w:rsidRPr="00BD376D" w:rsidRDefault="00CB5516" w:rsidP="00E91F05">
            <w:pPr>
              <w:pStyle w:val="Undertittel"/>
              <w:rPr>
                <w:color w:val="auto"/>
                <w:sz w:val="22"/>
                <w:szCs w:val="22"/>
              </w:rPr>
            </w:pPr>
            <w:r w:rsidRPr="00BD376D">
              <w:rPr>
                <w:color w:val="auto"/>
                <w:sz w:val="22"/>
                <w:szCs w:val="22"/>
              </w:rPr>
              <w:t>Matematikk</w:t>
            </w:r>
          </w:p>
        </w:tc>
        <w:tc>
          <w:tcPr>
            <w:tcW w:w="1554" w:type="dxa"/>
          </w:tcPr>
          <w:p w14:paraId="00966242" w14:textId="4AE050E1" w:rsidR="00E91F05" w:rsidRPr="00BD376D" w:rsidRDefault="00CB5516" w:rsidP="00E91F05">
            <w:pPr>
              <w:pStyle w:val="Undertittel"/>
              <w:rPr>
                <w:color w:val="auto"/>
                <w:sz w:val="22"/>
                <w:szCs w:val="22"/>
              </w:rPr>
            </w:pPr>
            <w:r w:rsidRPr="00BD376D">
              <w:rPr>
                <w:color w:val="auto"/>
                <w:sz w:val="22"/>
                <w:szCs w:val="22"/>
              </w:rPr>
              <w:t>Lege</w:t>
            </w:r>
            <w:r w:rsidR="00037BBB" w:rsidRPr="00BD376D">
              <w:rPr>
                <w:color w:val="auto"/>
                <w:sz w:val="22"/>
                <w:szCs w:val="22"/>
              </w:rPr>
              <w:t>-</w:t>
            </w:r>
            <w:r w:rsidRPr="00BD376D">
              <w:rPr>
                <w:color w:val="auto"/>
                <w:sz w:val="22"/>
                <w:szCs w:val="22"/>
              </w:rPr>
              <w:t>erklæring vedlagt</w:t>
            </w:r>
          </w:p>
        </w:tc>
      </w:tr>
      <w:tr w:rsidR="00037BBB" w:rsidRPr="00BD376D" w14:paraId="32CF6B96" w14:textId="77777777" w:rsidTr="00037BBB">
        <w:tc>
          <w:tcPr>
            <w:tcW w:w="1980" w:type="dxa"/>
          </w:tcPr>
          <w:p w14:paraId="4AF617F4" w14:textId="77777777" w:rsidR="00E91F05" w:rsidRDefault="00CB5516" w:rsidP="00E91F05">
            <w:pPr>
              <w:pStyle w:val="Undertittel"/>
              <w:rPr>
                <w:color w:val="auto"/>
                <w:sz w:val="22"/>
                <w:szCs w:val="22"/>
              </w:rPr>
            </w:pPr>
            <w:r w:rsidRPr="00BD376D">
              <w:rPr>
                <w:color w:val="auto"/>
                <w:sz w:val="22"/>
                <w:szCs w:val="22"/>
              </w:rPr>
              <w:t>Utvidet tid</w:t>
            </w:r>
          </w:p>
          <w:p w14:paraId="64D9DB74" w14:textId="649A4EAA" w:rsidR="00172E96" w:rsidRPr="00172E96" w:rsidRDefault="00172E96" w:rsidP="00172E96"/>
        </w:tc>
        <w:tc>
          <w:tcPr>
            <w:tcW w:w="1134" w:type="dxa"/>
          </w:tcPr>
          <w:p w14:paraId="14C4DAFB" w14:textId="77777777" w:rsidR="00E91F05" w:rsidRPr="00BD376D" w:rsidRDefault="00E91F05" w:rsidP="00E91F05">
            <w:pPr>
              <w:pStyle w:val="Undertittel"/>
              <w:rPr>
                <w:color w:val="auto"/>
                <w:sz w:val="22"/>
                <w:szCs w:val="22"/>
              </w:rPr>
            </w:pPr>
          </w:p>
        </w:tc>
        <w:tc>
          <w:tcPr>
            <w:tcW w:w="1417" w:type="dxa"/>
          </w:tcPr>
          <w:p w14:paraId="5F118548" w14:textId="77777777" w:rsidR="00E91F05" w:rsidRPr="00BD376D" w:rsidRDefault="00E91F05" w:rsidP="00E91F05">
            <w:pPr>
              <w:pStyle w:val="Undertittel"/>
              <w:rPr>
                <w:color w:val="auto"/>
                <w:sz w:val="22"/>
                <w:szCs w:val="22"/>
              </w:rPr>
            </w:pPr>
          </w:p>
        </w:tc>
        <w:tc>
          <w:tcPr>
            <w:tcW w:w="1276" w:type="dxa"/>
          </w:tcPr>
          <w:p w14:paraId="3E32FA8A" w14:textId="77777777" w:rsidR="00E91F05" w:rsidRPr="00BD376D" w:rsidRDefault="00E91F05" w:rsidP="00E91F05">
            <w:pPr>
              <w:pStyle w:val="Undertittel"/>
              <w:rPr>
                <w:color w:val="auto"/>
                <w:sz w:val="22"/>
                <w:szCs w:val="22"/>
              </w:rPr>
            </w:pPr>
          </w:p>
        </w:tc>
        <w:tc>
          <w:tcPr>
            <w:tcW w:w="1701" w:type="dxa"/>
          </w:tcPr>
          <w:p w14:paraId="44C262BD" w14:textId="77777777" w:rsidR="00E91F05" w:rsidRPr="00BD376D" w:rsidRDefault="00E91F05" w:rsidP="00E91F05">
            <w:pPr>
              <w:pStyle w:val="Undertittel"/>
              <w:rPr>
                <w:color w:val="auto"/>
                <w:sz w:val="22"/>
                <w:szCs w:val="22"/>
              </w:rPr>
            </w:pPr>
          </w:p>
        </w:tc>
        <w:tc>
          <w:tcPr>
            <w:tcW w:w="1554" w:type="dxa"/>
          </w:tcPr>
          <w:p w14:paraId="7052C7FF" w14:textId="77777777" w:rsidR="00E91F05" w:rsidRPr="00BD376D" w:rsidRDefault="00E91F05" w:rsidP="00E91F05">
            <w:pPr>
              <w:pStyle w:val="Undertittel"/>
              <w:rPr>
                <w:color w:val="auto"/>
                <w:sz w:val="22"/>
                <w:szCs w:val="22"/>
              </w:rPr>
            </w:pPr>
          </w:p>
        </w:tc>
      </w:tr>
      <w:tr w:rsidR="00037BBB" w:rsidRPr="00BD376D" w14:paraId="49810F31" w14:textId="77777777" w:rsidTr="00037BBB">
        <w:tc>
          <w:tcPr>
            <w:tcW w:w="1980" w:type="dxa"/>
          </w:tcPr>
          <w:p w14:paraId="5A5F2D56" w14:textId="57D19D31" w:rsidR="00F617BA" w:rsidRPr="00BD376D" w:rsidRDefault="00F617BA" w:rsidP="00172E96">
            <w:pPr>
              <w:pStyle w:val="Undertittel"/>
              <w:rPr>
                <w:color w:val="auto"/>
                <w:sz w:val="22"/>
                <w:szCs w:val="22"/>
              </w:rPr>
            </w:pPr>
            <w:r w:rsidRPr="00BD376D">
              <w:rPr>
                <w:color w:val="auto"/>
                <w:sz w:val="22"/>
                <w:szCs w:val="22"/>
              </w:rPr>
              <w:t>Opplesing av oppgave-teksten</w:t>
            </w:r>
          </w:p>
        </w:tc>
        <w:tc>
          <w:tcPr>
            <w:tcW w:w="1134" w:type="dxa"/>
          </w:tcPr>
          <w:p w14:paraId="105B1FE6" w14:textId="77777777" w:rsidR="00E91F05" w:rsidRPr="00BD376D" w:rsidRDefault="00E91F05" w:rsidP="00E91F05">
            <w:pPr>
              <w:pStyle w:val="Undertittel"/>
              <w:rPr>
                <w:color w:val="auto"/>
                <w:sz w:val="22"/>
                <w:szCs w:val="22"/>
              </w:rPr>
            </w:pPr>
          </w:p>
        </w:tc>
        <w:tc>
          <w:tcPr>
            <w:tcW w:w="1417" w:type="dxa"/>
          </w:tcPr>
          <w:p w14:paraId="12E3845D" w14:textId="77777777" w:rsidR="00E91F05" w:rsidRPr="00BD376D" w:rsidRDefault="00E91F05" w:rsidP="00E91F05">
            <w:pPr>
              <w:pStyle w:val="Undertittel"/>
              <w:rPr>
                <w:color w:val="auto"/>
                <w:sz w:val="22"/>
                <w:szCs w:val="22"/>
              </w:rPr>
            </w:pPr>
          </w:p>
        </w:tc>
        <w:tc>
          <w:tcPr>
            <w:tcW w:w="1276" w:type="dxa"/>
          </w:tcPr>
          <w:p w14:paraId="3D59940A" w14:textId="77777777" w:rsidR="00E91F05" w:rsidRPr="00BD376D" w:rsidRDefault="00E91F05" w:rsidP="00E91F05">
            <w:pPr>
              <w:pStyle w:val="Undertittel"/>
              <w:rPr>
                <w:color w:val="auto"/>
                <w:sz w:val="22"/>
                <w:szCs w:val="22"/>
              </w:rPr>
            </w:pPr>
          </w:p>
        </w:tc>
        <w:tc>
          <w:tcPr>
            <w:tcW w:w="1701" w:type="dxa"/>
          </w:tcPr>
          <w:p w14:paraId="30911C93" w14:textId="77777777" w:rsidR="00E91F05" w:rsidRPr="00BD376D" w:rsidRDefault="00E91F05" w:rsidP="00E91F05">
            <w:pPr>
              <w:pStyle w:val="Undertittel"/>
              <w:rPr>
                <w:color w:val="auto"/>
                <w:sz w:val="22"/>
                <w:szCs w:val="22"/>
              </w:rPr>
            </w:pPr>
          </w:p>
        </w:tc>
        <w:tc>
          <w:tcPr>
            <w:tcW w:w="1554" w:type="dxa"/>
          </w:tcPr>
          <w:p w14:paraId="4A01FE2E" w14:textId="77777777" w:rsidR="00E91F05" w:rsidRPr="00BD376D" w:rsidRDefault="00E91F05" w:rsidP="00E91F05">
            <w:pPr>
              <w:pStyle w:val="Undertittel"/>
              <w:rPr>
                <w:color w:val="auto"/>
                <w:sz w:val="22"/>
                <w:szCs w:val="22"/>
              </w:rPr>
            </w:pPr>
          </w:p>
        </w:tc>
      </w:tr>
      <w:tr w:rsidR="00037BBB" w:rsidRPr="0091716A" w14:paraId="36BFD26C" w14:textId="77777777" w:rsidTr="00037BBB">
        <w:tc>
          <w:tcPr>
            <w:tcW w:w="1980" w:type="dxa"/>
          </w:tcPr>
          <w:p w14:paraId="77309487" w14:textId="3DE0B7B2" w:rsidR="00E91F05" w:rsidRPr="0091716A" w:rsidRDefault="00746B13" w:rsidP="00E91F05">
            <w:pPr>
              <w:pStyle w:val="Undertittel"/>
              <w:rPr>
                <w:color w:val="auto"/>
                <w:sz w:val="22"/>
                <w:szCs w:val="22"/>
                <w:lang w:val="nn-NO"/>
              </w:rPr>
            </w:pPr>
            <w:r w:rsidRPr="0091716A">
              <w:rPr>
                <w:color w:val="auto"/>
                <w:sz w:val="22"/>
                <w:szCs w:val="22"/>
                <w:lang w:val="nn-NO"/>
              </w:rPr>
              <w:t>Bruk av tale-til-tekst-program</w:t>
            </w:r>
          </w:p>
        </w:tc>
        <w:tc>
          <w:tcPr>
            <w:tcW w:w="1134" w:type="dxa"/>
          </w:tcPr>
          <w:p w14:paraId="1DBEF50F" w14:textId="77777777" w:rsidR="00E91F05" w:rsidRPr="0091716A" w:rsidRDefault="00E91F05" w:rsidP="00E91F05">
            <w:pPr>
              <w:pStyle w:val="Undertittel"/>
              <w:rPr>
                <w:color w:val="auto"/>
                <w:sz w:val="22"/>
                <w:szCs w:val="22"/>
                <w:lang w:val="nn-NO"/>
              </w:rPr>
            </w:pPr>
          </w:p>
        </w:tc>
        <w:tc>
          <w:tcPr>
            <w:tcW w:w="1417" w:type="dxa"/>
          </w:tcPr>
          <w:p w14:paraId="41CBF739" w14:textId="77777777" w:rsidR="00E91F05" w:rsidRPr="0091716A" w:rsidRDefault="00E91F05" w:rsidP="00E91F05">
            <w:pPr>
              <w:pStyle w:val="Undertittel"/>
              <w:rPr>
                <w:color w:val="auto"/>
                <w:sz w:val="22"/>
                <w:szCs w:val="22"/>
                <w:lang w:val="nn-NO"/>
              </w:rPr>
            </w:pPr>
          </w:p>
        </w:tc>
        <w:tc>
          <w:tcPr>
            <w:tcW w:w="1276" w:type="dxa"/>
          </w:tcPr>
          <w:p w14:paraId="48D81714" w14:textId="77777777" w:rsidR="00E91F05" w:rsidRPr="0091716A" w:rsidRDefault="00E91F05" w:rsidP="00E91F05">
            <w:pPr>
              <w:pStyle w:val="Undertittel"/>
              <w:rPr>
                <w:color w:val="auto"/>
                <w:sz w:val="22"/>
                <w:szCs w:val="22"/>
                <w:lang w:val="nn-NO"/>
              </w:rPr>
            </w:pPr>
          </w:p>
        </w:tc>
        <w:tc>
          <w:tcPr>
            <w:tcW w:w="1701" w:type="dxa"/>
          </w:tcPr>
          <w:p w14:paraId="24FA3E26" w14:textId="77777777" w:rsidR="00E91F05" w:rsidRPr="0091716A" w:rsidRDefault="00E91F05" w:rsidP="00E91F05">
            <w:pPr>
              <w:pStyle w:val="Undertittel"/>
              <w:rPr>
                <w:color w:val="auto"/>
                <w:sz w:val="22"/>
                <w:szCs w:val="22"/>
                <w:lang w:val="nn-NO"/>
              </w:rPr>
            </w:pPr>
          </w:p>
        </w:tc>
        <w:tc>
          <w:tcPr>
            <w:tcW w:w="1554" w:type="dxa"/>
          </w:tcPr>
          <w:p w14:paraId="2F2EF027" w14:textId="77777777" w:rsidR="00E91F05" w:rsidRPr="0091716A" w:rsidRDefault="00E91F05" w:rsidP="00E91F05">
            <w:pPr>
              <w:pStyle w:val="Undertittel"/>
              <w:rPr>
                <w:color w:val="auto"/>
                <w:sz w:val="22"/>
                <w:szCs w:val="22"/>
                <w:lang w:val="nn-NO"/>
              </w:rPr>
            </w:pPr>
          </w:p>
        </w:tc>
      </w:tr>
      <w:tr w:rsidR="00037BBB" w:rsidRPr="00BD376D" w14:paraId="6EC3253A" w14:textId="77777777" w:rsidTr="00037BBB">
        <w:tc>
          <w:tcPr>
            <w:tcW w:w="1980" w:type="dxa"/>
          </w:tcPr>
          <w:p w14:paraId="77F8534C" w14:textId="298FFAD8" w:rsidR="00E91F05" w:rsidRPr="00BD376D" w:rsidRDefault="00746B13" w:rsidP="00E91F05">
            <w:pPr>
              <w:pStyle w:val="Undertittel"/>
              <w:rPr>
                <w:sz w:val="22"/>
                <w:szCs w:val="22"/>
              </w:rPr>
            </w:pPr>
            <w:r w:rsidRPr="00BD376D">
              <w:rPr>
                <w:color w:val="auto"/>
                <w:sz w:val="22"/>
                <w:szCs w:val="22"/>
              </w:rPr>
              <w:t>Annet</w:t>
            </w:r>
            <w:r w:rsidR="003F7EA8" w:rsidRPr="00BD376D">
              <w:rPr>
                <w:color w:val="auto"/>
                <w:sz w:val="22"/>
                <w:szCs w:val="22"/>
              </w:rPr>
              <w:t>*</w:t>
            </w:r>
          </w:p>
        </w:tc>
        <w:tc>
          <w:tcPr>
            <w:tcW w:w="1134" w:type="dxa"/>
          </w:tcPr>
          <w:p w14:paraId="0CA07131" w14:textId="77777777" w:rsidR="00E91F05" w:rsidRPr="00BD376D" w:rsidRDefault="00E91F05" w:rsidP="00E91F05">
            <w:pPr>
              <w:pStyle w:val="Undertittel"/>
              <w:rPr>
                <w:sz w:val="22"/>
                <w:szCs w:val="22"/>
              </w:rPr>
            </w:pPr>
          </w:p>
        </w:tc>
        <w:tc>
          <w:tcPr>
            <w:tcW w:w="1417" w:type="dxa"/>
          </w:tcPr>
          <w:p w14:paraId="02230B8B" w14:textId="77777777" w:rsidR="00E91F05" w:rsidRPr="00BD376D" w:rsidRDefault="00E91F05" w:rsidP="00E91F05">
            <w:pPr>
              <w:pStyle w:val="Undertittel"/>
              <w:rPr>
                <w:sz w:val="22"/>
                <w:szCs w:val="22"/>
              </w:rPr>
            </w:pPr>
          </w:p>
        </w:tc>
        <w:tc>
          <w:tcPr>
            <w:tcW w:w="1276" w:type="dxa"/>
          </w:tcPr>
          <w:p w14:paraId="157E8374" w14:textId="77777777" w:rsidR="00E91F05" w:rsidRPr="00BD376D" w:rsidRDefault="00E91F05" w:rsidP="00E91F05">
            <w:pPr>
              <w:pStyle w:val="Undertittel"/>
              <w:rPr>
                <w:sz w:val="22"/>
                <w:szCs w:val="22"/>
              </w:rPr>
            </w:pPr>
          </w:p>
        </w:tc>
        <w:tc>
          <w:tcPr>
            <w:tcW w:w="1701" w:type="dxa"/>
          </w:tcPr>
          <w:p w14:paraId="3185B636" w14:textId="77777777" w:rsidR="00E91F05" w:rsidRPr="00BD376D" w:rsidRDefault="00E91F05" w:rsidP="00E91F05">
            <w:pPr>
              <w:pStyle w:val="Undertittel"/>
              <w:rPr>
                <w:sz w:val="22"/>
                <w:szCs w:val="22"/>
              </w:rPr>
            </w:pPr>
          </w:p>
        </w:tc>
        <w:tc>
          <w:tcPr>
            <w:tcW w:w="1554" w:type="dxa"/>
          </w:tcPr>
          <w:p w14:paraId="71AC0184" w14:textId="77777777" w:rsidR="00E91F05" w:rsidRPr="00BD376D" w:rsidRDefault="00E91F05" w:rsidP="00E91F05">
            <w:pPr>
              <w:pStyle w:val="Undertittel"/>
              <w:rPr>
                <w:sz w:val="22"/>
                <w:szCs w:val="22"/>
              </w:rPr>
            </w:pPr>
          </w:p>
        </w:tc>
      </w:tr>
    </w:tbl>
    <w:p w14:paraId="00273C97" w14:textId="77777777" w:rsidR="00CC00C5" w:rsidRDefault="00CC00C5" w:rsidP="003F7EA8">
      <w:pPr>
        <w:rPr>
          <w:sz w:val="22"/>
          <w:szCs w:val="22"/>
        </w:rPr>
      </w:pPr>
    </w:p>
    <w:p w14:paraId="1453211E" w14:textId="44B573C6" w:rsidR="003F7EA8" w:rsidRPr="00BD376D" w:rsidRDefault="003F7EA8" w:rsidP="003F7EA8">
      <w:pPr>
        <w:rPr>
          <w:sz w:val="22"/>
          <w:szCs w:val="22"/>
        </w:rPr>
      </w:pPr>
      <w:r w:rsidRPr="00BD376D">
        <w:rPr>
          <w:sz w:val="22"/>
          <w:szCs w:val="22"/>
        </w:rPr>
        <w:t>Annet*</w:t>
      </w:r>
      <w:r w:rsidR="00431788" w:rsidRPr="00BD376D">
        <w:rPr>
          <w:sz w:val="22"/>
          <w:szCs w:val="22"/>
        </w:rPr>
        <w:t xml:space="preserve"> (Beskriv kort hvilken tilrettelegging det gjelder og begrunnelse for </w:t>
      </w:r>
      <w:r w:rsidR="00481342" w:rsidRPr="00BD376D">
        <w:rPr>
          <w:sz w:val="22"/>
          <w:szCs w:val="22"/>
        </w:rPr>
        <w:t xml:space="preserve">ønsket </w:t>
      </w:r>
      <w:r w:rsidR="00431788" w:rsidRPr="00BD376D">
        <w:rPr>
          <w:sz w:val="22"/>
          <w:szCs w:val="22"/>
        </w:rPr>
        <w:t>tilrettelegging</w:t>
      </w:r>
      <w:r w:rsidR="00481342" w:rsidRPr="00BD376D">
        <w:rPr>
          <w:sz w:val="22"/>
          <w:szCs w:val="22"/>
        </w:rPr>
        <w:t>)</w:t>
      </w:r>
    </w:p>
    <w:tbl>
      <w:tblPr>
        <w:tblStyle w:val="Tabellrutenett"/>
        <w:tblW w:w="0" w:type="auto"/>
        <w:tblLook w:val="04A0" w:firstRow="1" w:lastRow="0" w:firstColumn="1" w:lastColumn="0" w:noHBand="0" w:noVBand="1"/>
      </w:tblPr>
      <w:tblGrid>
        <w:gridCol w:w="9062"/>
      </w:tblGrid>
      <w:tr w:rsidR="00481342" w14:paraId="5EEFB63E" w14:textId="77777777" w:rsidTr="00481342">
        <w:tc>
          <w:tcPr>
            <w:tcW w:w="9062" w:type="dxa"/>
          </w:tcPr>
          <w:p w14:paraId="3D6231A2" w14:textId="77777777" w:rsidR="00481342" w:rsidRDefault="00481342" w:rsidP="003F7EA8"/>
          <w:p w14:paraId="395EB456" w14:textId="77777777" w:rsidR="00481342" w:rsidRDefault="00481342" w:rsidP="003F7EA8"/>
          <w:p w14:paraId="067502CA" w14:textId="77777777" w:rsidR="00481342" w:rsidRDefault="00481342" w:rsidP="003F7EA8"/>
          <w:p w14:paraId="4D0F3DCC" w14:textId="77777777" w:rsidR="00481342" w:rsidRDefault="00481342" w:rsidP="003F7EA8"/>
          <w:p w14:paraId="3068B97C" w14:textId="77777777" w:rsidR="00481342" w:rsidRDefault="00481342" w:rsidP="003F7EA8"/>
          <w:p w14:paraId="3BF0324B" w14:textId="77777777" w:rsidR="00BD376D" w:rsidRDefault="00BD376D" w:rsidP="003F7EA8"/>
          <w:p w14:paraId="484A2163" w14:textId="77777777" w:rsidR="00481342" w:rsidRDefault="00481342" w:rsidP="003F7EA8"/>
        </w:tc>
      </w:tr>
    </w:tbl>
    <w:p w14:paraId="57CCD043" w14:textId="5C5A586B" w:rsidR="00DF0DF4" w:rsidRPr="00BD376D" w:rsidRDefault="00481342" w:rsidP="000458DA">
      <w:pPr>
        <w:rPr>
          <w:sz w:val="22"/>
          <w:szCs w:val="22"/>
        </w:rPr>
      </w:pPr>
      <w:r w:rsidRPr="00BD376D">
        <w:rPr>
          <w:sz w:val="22"/>
          <w:szCs w:val="22"/>
        </w:rPr>
        <w:t xml:space="preserve">Skjemaet leveres til rektor </w:t>
      </w:r>
      <w:r w:rsidRPr="00E44F63">
        <w:rPr>
          <w:b/>
          <w:bCs/>
          <w:sz w:val="22"/>
          <w:szCs w:val="22"/>
          <w:highlight w:val="yellow"/>
        </w:rPr>
        <w:t>innen 30. april</w:t>
      </w:r>
      <w:r w:rsidRPr="00BD376D">
        <w:rPr>
          <w:sz w:val="22"/>
          <w:szCs w:val="22"/>
        </w:rPr>
        <w:t xml:space="preserve">. Husk eventuelle vedlegg (legeerklæring). </w:t>
      </w:r>
    </w:p>
    <w:p w14:paraId="20A85549" w14:textId="77777777" w:rsidR="00481342" w:rsidRPr="00BD376D" w:rsidRDefault="00481342" w:rsidP="000458DA">
      <w:pPr>
        <w:rPr>
          <w:sz w:val="22"/>
          <w:szCs w:val="22"/>
        </w:rPr>
      </w:pPr>
    </w:p>
    <w:p w14:paraId="6BFA7E1F" w14:textId="287643D0" w:rsidR="00915E44" w:rsidRPr="00BD376D" w:rsidRDefault="00915E44" w:rsidP="000458DA">
      <w:pPr>
        <w:rPr>
          <w:sz w:val="22"/>
          <w:szCs w:val="22"/>
        </w:rPr>
      </w:pPr>
      <w:r w:rsidRPr="00BD376D">
        <w:rPr>
          <w:sz w:val="22"/>
          <w:szCs w:val="22"/>
        </w:rPr>
        <w:t>________________________________________         ______________________________________</w:t>
      </w:r>
    </w:p>
    <w:p w14:paraId="34D9215E" w14:textId="6DFB6663" w:rsidR="00DF0DF4" w:rsidRPr="00BD376D" w:rsidRDefault="00915E44" w:rsidP="000458DA">
      <w:pPr>
        <w:rPr>
          <w:sz w:val="20"/>
          <w:szCs w:val="20"/>
        </w:rPr>
      </w:pPr>
      <w:r w:rsidRPr="00BD376D">
        <w:rPr>
          <w:sz w:val="20"/>
          <w:szCs w:val="20"/>
        </w:rPr>
        <w:t xml:space="preserve">Elevens </w:t>
      </w:r>
      <w:r w:rsidR="00037BBB" w:rsidRPr="00BD376D">
        <w:rPr>
          <w:sz w:val="20"/>
          <w:szCs w:val="20"/>
        </w:rPr>
        <w:t>underskrift</w:t>
      </w:r>
      <w:r w:rsidR="00037BBB" w:rsidRPr="00BD376D">
        <w:rPr>
          <w:sz w:val="20"/>
          <w:szCs w:val="20"/>
        </w:rPr>
        <w:tab/>
      </w:r>
      <w:r w:rsidR="00037BBB" w:rsidRPr="00BD376D">
        <w:rPr>
          <w:sz w:val="20"/>
          <w:szCs w:val="20"/>
        </w:rPr>
        <w:tab/>
      </w:r>
      <w:r w:rsidR="00037BBB" w:rsidRPr="00BD376D">
        <w:rPr>
          <w:sz w:val="20"/>
          <w:szCs w:val="20"/>
        </w:rPr>
        <w:tab/>
      </w:r>
      <w:r w:rsidR="00037BBB" w:rsidRPr="00BD376D">
        <w:rPr>
          <w:sz w:val="20"/>
          <w:szCs w:val="20"/>
        </w:rPr>
        <w:tab/>
      </w:r>
      <w:r w:rsidR="00BD376D">
        <w:rPr>
          <w:sz w:val="20"/>
          <w:szCs w:val="20"/>
        </w:rPr>
        <w:t xml:space="preserve">   </w:t>
      </w:r>
      <w:r w:rsidR="00037BBB" w:rsidRPr="00BD376D">
        <w:rPr>
          <w:sz w:val="20"/>
          <w:szCs w:val="20"/>
        </w:rPr>
        <w:t>Foresattes underskrift</w:t>
      </w:r>
    </w:p>
    <w:sectPr w:rsidR="00DF0DF4" w:rsidRPr="00BD376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B928" w14:textId="77777777" w:rsidR="00B3149F" w:rsidRDefault="00B3149F" w:rsidP="00DF0DF4">
      <w:pPr>
        <w:spacing w:after="0" w:line="240" w:lineRule="auto"/>
      </w:pPr>
      <w:r>
        <w:separator/>
      </w:r>
    </w:p>
  </w:endnote>
  <w:endnote w:type="continuationSeparator" w:id="0">
    <w:p w14:paraId="79C12477" w14:textId="77777777" w:rsidR="00B3149F" w:rsidRDefault="00B3149F" w:rsidP="00DF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81738"/>
      <w:docPartObj>
        <w:docPartGallery w:val="Page Numbers (Bottom of Page)"/>
        <w:docPartUnique/>
      </w:docPartObj>
    </w:sdtPr>
    <w:sdtEndPr/>
    <w:sdtContent>
      <w:p w14:paraId="58AA5CD5" w14:textId="66A3DCA7" w:rsidR="00DF0DF4" w:rsidRDefault="00DF0DF4">
        <w:pPr>
          <w:pStyle w:val="Bunntekst"/>
          <w:jc w:val="right"/>
        </w:pPr>
        <w:r>
          <w:fldChar w:fldCharType="begin"/>
        </w:r>
        <w:r>
          <w:instrText>PAGE   \* MERGEFORMAT</w:instrText>
        </w:r>
        <w:r>
          <w:fldChar w:fldCharType="separate"/>
        </w:r>
        <w:r>
          <w:t>2</w:t>
        </w:r>
        <w:r>
          <w:fldChar w:fldCharType="end"/>
        </w:r>
      </w:p>
    </w:sdtContent>
  </w:sdt>
  <w:p w14:paraId="7A253DBD" w14:textId="77777777" w:rsidR="00DF0DF4" w:rsidRDefault="00DF0DF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BB10" w14:textId="77777777" w:rsidR="00B3149F" w:rsidRDefault="00B3149F" w:rsidP="00DF0DF4">
      <w:pPr>
        <w:spacing w:after="0" w:line="240" w:lineRule="auto"/>
      </w:pPr>
      <w:r>
        <w:separator/>
      </w:r>
    </w:p>
  </w:footnote>
  <w:footnote w:type="continuationSeparator" w:id="0">
    <w:p w14:paraId="2BDF8F52" w14:textId="77777777" w:rsidR="00B3149F" w:rsidRDefault="00B3149F" w:rsidP="00DF0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22F"/>
    <w:multiLevelType w:val="hybridMultilevel"/>
    <w:tmpl w:val="C02601D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FF4302A"/>
    <w:multiLevelType w:val="hybridMultilevel"/>
    <w:tmpl w:val="D4B6D42A"/>
    <w:lvl w:ilvl="0" w:tplc="41329B7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D2713CB"/>
    <w:multiLevelType w:val="hybridMultilevel"/>
    <w:tmpl w:val="0F9064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2076D27"/>
    <w:multiLevelType w:val="hybridMultilevel"/>
    <w:tmpl w:val="5D5CE86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DDB46AA"/>
    <w:multiLevelType w:val="hybridMultilevel"/>
    <w:tmpl w:val="114033E8"/>
    <w:lvl w:ilvl="0" w:tplc="51D48FFA">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BA41871"/>
    <w:multiLevelType w:val="hybridMultilevel"/>
    <w:tmpl w:val="AFA6E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10882950">
    <w:abstractNumId w:val="0"/>
  </w:num>
  <w:num w:numId="2" w16cid:durableId="304169602">
    <w:abstractNumId w:val="3"/>
  </w:num>
  <w:num w:numId="3" w16cid:durableId="1286237373">
    <w:abstractNumId w:val="5"/>
  </w:num>
  <w:num w:numId="4" w16cid:durableId="1642464239">
    <w:abstractNumId w:val="1"/>
  </w:num>
  <w:num w:numId="5" w16cid:durableId="836698866">
    <w:abstractNumId w:val="4"/>
  </w:num>
  <w:num w:numId="6" w16cid:durableId="1492066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E8"/>
    <w:rsid w:val="00037BBB"/>
    <w:rsid w:val="00037D9A"/>
    <w:rsid w:val="000458DA"/>
    <w:rsid w:val="00172E96"/>
    <w:rsid w:val="001A080C"/>
    <w:rsid w:val="001C4849"/>
    <w:rsid w:val="002C448C"/>
    <w:rsid w:val="00372423"/>
    <w:rsid w:val="003C19CE"/>
    <w:rsid w:val="003D1F57"/>
    <w:rsid w:val="003F7EA8"/>
    <w:rsid w:val="004140F0"/>
    <w:rsid w:val="00431788"/>
    <w:rsid w:val="00464C81"/>
    <w:rsid w:val="00481342"/>
    <w:rsid w:val="004A7B8B"/>
    <w:rsid w:val="004F5561"/>
    <w:rsid w:val="0054728E"/>
    <w:rsid w:val="006E79E6"/>
    <w:rsid w:val="00734D82"/>
    <w:rsid w:val="00746B13"/>
    <w:rsid w:val="007C3E52"/>
    <w:rsid w:val="008555B0"/>
    <w:rsid w:val="00876680"/>
    <w:rsid w:val="0090051B"/>
    <w:rsid w:val="00915E44"/>
    <w:rsid w:val="0091716A"/>
    <w:rsid w:val="00AD0230"/>
    <w:rsid w:val="00AF222A"/>
    <w:rsid w:val="00B01C38"/>
    <w:rsid w:val="00B3149F"/>
    <w:rsid w:val="00BD376D"/>
    <w:rsid w:val="00BE08E8"/>
    <w:rsid w:val="00BF5C38"/>
    <w:rsid w:val="00C07867"/>
    <w:rsid w:val="00C77379"/>
    <w:rsid w:val="00C904B1"/>
    <w:rsid w:val="00CB5516"/>
    <w:rsid w:val="00CC00C5"/>
    <w:rsid w:val="00D6056C"/>
    <w:rsid w:val="00DB716D"/>
    <w:rsid w:val="00DE1A75"/>
    <w:rsid w:val="00DE747E"/>
    <w:rsid w:val="00DF0DF4"/>
    <w:rsid w:val="00E44F63"/>
    <w:rsid w:val="00E91F05"/>
    <w:rsid w:val="00F617BA"/>
    <w:rsid w:val="00FA7211"/>
    <w:rsid w:val="00FB7D70"/>
    <w:rsid w:val="00FC2E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F735"/>
  <w15:chartTrackingRefBased/>
  <w15:docId w15:val="{B51D092D-44DF-4D06-B126-6ECBEF82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E0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E0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08E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08E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E08E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E08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08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08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08E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E08E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E08E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E08E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E08E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E08E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E08E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E08E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E08E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E08E8"/>
    <w:rPr>
      <w:rFonts w:eastAsiaTheme="majorEastAsia" w:cstheme="majorBidi"/>
      <w:color w:val="272727" w:themeColor="text1" w:themeTint="D8"/>
    </w:rPr>
  </w:style>
  <w:style w:type="paragraph" w:styleId="Tittel">
    <w:name w:val="Title"/>
    <w:basedOn w:val="Normal"/>
    <w:next w:val="Normal"/>
    <w:link w:val="TittelTegn"/>
    <w:uiPriority w:val="10"/>
    <w:qFormat/>
    <w:rsid w:val="00BE0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E08E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E08E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E08E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E08E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E08E8"/>
    <w:rPr>
      <w:i/>
      <w:iCs/>
      <w:color w:val="404040" w:themeColor="text1" w:themeTint="BF"/>
    </w:rPr>
  </w:style>
  <w:style w:type="paragraph" w:styleId="Listeavsnitt">
    <w:name w:val="List Paragraph"/>
    <w:basedOn w:val="Normal"/>
    <w:uiPriority w:val="34"/>
    <w:qFormat/>
    <w:rsid w:val="00BE08E8"/>
    <w:pPr>
      <w:ind w:left="720"/>
      <w:contextualSpacing/>
    </w:pPr>
  </w:style>
  <w:style w:type="character" w:styleId="Sterkutheving">
    <w:name w:val="Intense Emphasis"/>
    <w:basedOn w:val="Standardskriftforavsnitt"/>
    <w:uiPriority w:val="21"/>
    <w:qFormat/>
    <w:rsid w:val="00BE08E8"/>
    <w:rPr>
      <w:i/>
      <w:iCs/>
      <w:color w:val="0F4761" w:themeColor="accent1" w:themeShade="BF"/>
    </w:rPr>
  </w:style>
  <w:style w:type="paragraph" w:styleId="Sterktsitat">
    <w:name w:val="Intense Quote"/>
    <w:basedOn w:val="Normal"/>
    <w:next w:val="Normal"/>
    <w:link w:val="SterktsitatTegn"/>
    <w:uiPriority w:val="30"/>
    <w:qFormat/>
    <w:rsid w:val="00BE0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E08E8"/>
    <w:rPr>
      <w:i/>
      <w:iCs/>
      <w:color w:val="0F4761" w:themeColor="accent1" w:themeShade="BF"/>
    </w:rPr>
  </w:style>
  <w:style w:type="character" w:styleId="Sterkreferanse">
    <w:name w:val="Intense Reference"/>
    <w:basedOn w:val="Standardskriftforavsnitt"/>
    <w:uiPriority w:val="32"/>
    <w:qFormat/>
    <w:rsid w:val="00BE08E8"/>
    <w:rPr>
      <w:b/>
      <w:bCs/>
      <w:smallCaps/>
      <w:color w:val="0F4761" w:themeColor="accent1" w:themeShade="BF"/>
      <w:spacing w:val="5"/>
    </w:rPr>
  </w:style>
  <w:style w:type="table" w:styleId="Tabellrutenett">
    <w:name w:val="Table Grid"/>
    <w:basedOn w:val="Vanligtabell"/>
    <w:uiPriority w:val="39"/>
    <w:rsid w:val="00BE0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4A7B8B"/>
    <w:rPr>
      <w:color w:val="467886" w:themeColor="hyperlink"/>
      <w:u w:val="single"/>
    </w:rPr>
  </w:style>
  <w:style w:type="character" w:styleId="Ulstomtale">
    <w:name w:val="Unresolved Mention"/>
    <w:basedOn w:val="Standardskriftforavsnitt"/>
    <w:uiPriority w:val="99"/>
    <w:semiHidden/>
    <w:unhideWhenUsed/>
    <w:rsid w:val="004A7B8B"/>
    <w:rPr>
      <w:color w:val="605E5C"/>
      <w:shd w:val="clear" w:color="auto" w:fill="E1DFDD"/>
    </w:rPr>
  </w:style>
  <w:style w:type="character" w:styleId="Sterk">
    <w:name w:val="Strong"/>
    <w:basedOn w:val="Standardskriftforavsnitt"/>
    <w:uiPriority w:val="22"/>
    <w:qFormat/>
    <w:rsid w:val="00876680"/>
    <w:rPr>
      <w:b/>
      <w:bCs/>
    </w:rPr>
  </w:style>
  <w:style w:type="paragraph" w:styleId="Topptekst">
    <w:name w:val="header"/>
    <w:basedOn w:val="Normal"/>
    <w:link w:val="TopptekstTegn"/>
    <w:uiPriority w:val="99"/>
    <w:unhideWhenUsed/>
    <w:rsid w:val="00DF0DF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0DF4"/>
  </w:style>
  <w:style w:type="paragraph" w:styleId="Bunntekst">
    <w:name w:val="footer"/>
    <w:basedOn w:val="Normal"/>
    <w:link w:val="BunntekstTegn"/>
    <w:uiPriority w:val="99"/>
    <w:unhideWhenUsed/>
    <w:rsid w:val="00DF0DF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0DF4"/>
  </w:style>
  <w:style w:type="character" w:styleId="Fulgthyperkobling">
    <w:name w:val="FollowedHyperlink"/>
    <w:basedOn w:val="Standardskriftforavsnitt"/>
    <w:uiPriority w:val="99"/>
    <w:semiHidden/>
    <w:unhideWhenUsed/>
    <w:rsid w:val="009171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ir.no/eksamen-og-prover/eksamen/administrere-eksa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skole.no/tinntjonn/Underside/19305" TargetMode="External"/><Relationship Id="rId5" Type="http://schemas.openxmlformats.org/officeDocument/2006/relationships/webSettings" Target="webSettings.xml"/><Relationship Id="rId10" Type="http://schemas.openxmlformats.org/officeDocument/2006/relationships/hyperlink" Target="https://view.officeapps.live.com/op/view.aspx?src=https%3A%2F%2Fwww.minskole.no%2FDynamicContent%2F%2FDocuments%2F839-tinntjonn-faf6515b-d51a-49b6-8b19-6cb64ea07acd.doc&amp;wdOrigin=BROWSELINK" TargetMode="External"/><Relationship Id="rId4" Type="http://schemas.openxmlformats.org/officeDocument/2006/relationships/settings" Target="settings.xml"/><Relationship Id="rId9" Type="http://schemas.openxmlformats.org/officeDocument/2006/relationships/hyperlink" Target="https://www.udir.no/regelverkstolkninger/opplaring/forskrift-om-grunnskoleopplaringa-og-den-vidaregaande-opplaringa-opplaringsforskrifta/tredje-delen--fellesreglar-for-grunnskoleopplaringa-og-den-vidaregaande-opplaringa-for-barn-og-unge/kapittel-9-individuell-vurdering/v.-eksamen/-9-42-annullering-av-eksamen-pa-grunn-av-juks-eller-forsok-pa-juks/"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19A74-FF97-4DAA-A5D7-FCB7F839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4962</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Tonje Anette Harket Thorbjørnsen</dc:creator>
  <cp:keywords/>
  <dc:description/>
  <cp:lastModifiedBy>Jarle Langeland</cp:lastModifiedBy>
  <cp:revision>2</cp:revision>
  <dcterms:created xsi:type="dcterms:W3CDTF">2026-04-13T09:25:00Z</dcterms:created>
  <dcterms:modified xsi:type="dcterms:W3CDTF">2026-04-13T09:25:00Z</dcterms:modified>
</cp:coreProperties>
</file>